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C3059" w14:textId="29BC05A1" w:rsidR="00065DBD" w:rsidRPr="00334B39" w:rsidRDefault="00065DBD">
      <w:pPr>
        <w:pBdr>
          <w:top w:val="nil"/>
          <w:left w:val="nil"/>
          <w:bottom w:val="nil"/>
          <w:right w:val="nil"/>
          <w:between w:val="nil"/>
        </w:pBdr>
        <w:ind w:left="3969"/>
        <w:jc w:val="both"/>
        <w:rPr>
          <w:rFonts w:ascii="Arial" w:eastAsia="Arial" w:hAnsi="Arial" w:cs="Arial"/>
          <w:sz w:val="22"/>
          <w:szCs w:val="22"/>
        </w:rPr>
      </w:pPr>
    </w:p>
    <w:p w14:paraId="2D30A8F0" w14:textId="3ECDC28C" w:rsidR="001B2DA4" w:rsidRPr="00334B39" w:rsidRDefault="001B2DA4">
      <w:pPr>
        <w:pBdr>
          <w:top w:val="nil"/>
          <w:left w:val="nil"/>
          <w:bottom w:val="nil"/>
          <w:right w:val="nil"/>
          <w:between w:val="nil"/>
        </w:pBdr>
        <w:ind w:left="3969"/>
        <w:jc w:val="both"/>
        <w:rPr>
          <w:rFonts w:ascii="Arial" w:eastAsia="Arial" w:hAnsi="Arial" w:cs="Arial"/>
          <w:sz w:val="22"/>
          <w:szCs w:val="22"/>
        </w:rPr>
      </w:pP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295"/>
        <w:gridCol w:w="272"/>
        <w:gridCol w:w="4593"/>
        <w:gridCol w:w="23"/>
      </w:tblGrid>
      <w:tr w:rsidR="009B5E8C" w:rsidRPr="00334B39" w14:paraId="77F453E3" w14:textId="77777777" w:rsidTr="2C6C8721">
        <w:tc>
          <w:tcPr>
            <w:tcW w:w="4888" w:type="dxa"/>
            <w:gridSpan w:val="2"/>
          </w:tcPr>
          <w:p w14:paraId="6C488A9F" w14:textId="24762F52" w:rsidR="009B5E8C" w:rsidRPr="00D84652" w:rsidRDefault="009B5E8C" w:rsidP="001B2DA4">
            <w:pPr>
              <w:spacing w:after="360"/>
              <w:jc w:val="center"/>
              <w:rPr>
                <w:rFonts w:ascii="Arial" w:eastAsia="Arial" w:hAnsi="Arial" w:cs="Arial"/>
                <w:bCs/>
                <w:sz w:val="22"/>
                <w:szCs w:val="22"/>
              </w:rPr>
            </w:pPr>
            <w:r w:rsidRPr="00D84652">
              <w:rPr>
                <w:rFonts w:ascii="Arial" w:eastAsia="Arial" w:hAnsi="Arial" w:cs="Arial"/>
                <w:b/>
                <w:sz w:val="22"/>
                <w:szCs w:val="22"/>
              </w:rPr>
              <w:t>MEMORANDO DE ENTENDIMENTO ACADÊMICO, CIENTÍFICO E CULTURAL QUE CELEBRAM A UNIVERSIDADE DE BRASÍLIA</w:t>
            </w:r>
            <w:r w:rsidR="003537C8" w:rsidRPr="00D84652">
              <w:rPr>
                <w:rFonts w:ascii="Arial" w:eastAsia="Arial" w:hAnsi="Arial" w:cs="Arial"/>
                <w:b/>
                <w:sz w:val="22"/>
                <w:szCs w:val="22"/>
              </w:rPr>
              <w:t xml:space="preserve"> (UnB)</w:t>
            </w:r>
            <w:r w:rsidRPr="00D84652">
              <w:rPr>
                <w:rFonts w:ascii="Arial" w:eastAsia="Arial" w:hAnsi="Arial" w:cs="Arial"/>
                <w:b/>
                <w:sz w:val="22"/>
                <w:szCs w:val="22"/>
              </w:rPr>
              <w:t xml:space="preserve"> E </w:t>
            </w:r>
            <w:r w:rsidRPr="00D84652">
              <w:rPr>
                <w:rFonts w:ascii="Arial" w:eastAsia="Arial" w:hAnsi="Arial" w:cs="Arial"/>
                <w:b/>
                <w:sz w:val="22"/>
                <w:szCs w:val="22"/>
                <w:highlight w:val="yellow"/>
              </w:rPr>
              <w:t xml:space="preserve">A </w:t>
            </w:r>
            <w:r w:rsidRPr="00D84652">
              <w:rPr>
                <w:rFonts w:ascii="Arial" w:eastAsia="Arial" w:hAnsi="Arial" w:cs="Arial"/>
                <w:b/>
                <w:i/>
                <w:sz w:val="22"/>
                <w:szCs w:val="22"/>
                <w:highlight w:val="yellow"/>
              </w:rPr>
              <w:t>UNIVERSIDADE ...........</w:t>
            </w:r>
          </w:p>
        </w:tc>
        <w:tc>
          <w:tcPr>
            <w:tcW w:w="4888" w:type="dxa"/>
            <w:gridSpan w:val="3"/>
          </w:tcPr>
          <w:p w14:paraId="35FAF777" w14:textId="75D8B2D0" w:rsidR="009B5E8C" w:rsidRPr="00D84652" w:rsidRDefault="003D7FA0" w:rsidP="00173ADA">
            <w:pPr>
              <w:jc w:val="center"/>
              <w:rPr>
                <w:rFonts w:ascii="Arial" w:eastAsia="Arial" w:hAnsi="Arial" w:cs="Arial"/>
                <w:b/>
                <w:sz w:val="22"/>
                <w:szCs w:val="22"/>
                <w:lang w:val="fr-FR"/>
              </w:rPr>
            </w:pPr>
            <w:r w:rsidRPr="00D84652">
              <w:rPr>
                <w:rFonts w:ascii="Arial" w:eastAsia="Arial" w:hAnsi="Arial" w:cs="Arial"/>
                <w:b/>
                <w:color w:val="000000"/>
                <w:sz w:val="22"/>
                <w:szCs w:val="22"/>
                <w:lang w:val="fr-FR"/>
              </w:rPr>
              <w:t>MÈMORANDUM D’ENTENTE ACADÉMIQUE, SCIENTIFIQUE ET CULTURELLE ENTRE L’</w:t>
            </w:r>
            <w:r w:rsidRPr="00D84652">
              <w:rPr>
                <w:rFonts w:ascii="Arial" w:eastAsia="Arial" w:hAnsi="Arial" w:cs="Arial"/>
                <w:b/>
                <w:i/>
                <w:iCs/>
                <w:color w:val="000000"/>
                <w:sz w:val="22"/>
                <w:szCs w:val="22"/>
                <w:lang w:val="fr-FR"/>
              </w:rPr>
              <w:t xml:space="preserve">UNIVERSIDADE DE BRASÍLIA </w:t>
            </w:r>
            <w:r w:rsidRPr="00D84652">
              <w:rPr>
                <w:rFonts w:ascii="Arial" w:eastAsia="Arial" w:hAnsi="Arial" w:cs="Arial"/>
                <w:b/>
                <w:color w:val="000000"/>
                <w:sz w:val="22"/>
                <w:szCs w:val="22"/>
                <w:lang w:val="fr-FR"/>
              </w:rPr>
              <w:t xml:space="preserve">ET L'UNIVERSITÉ </w:t>
            </w:r>
            <w:r w:rsidR="00764E05" w:rsidRPr="00D84652">
              <w:rPr>
                <w:rFonts w:ascii="Arial" w:eastAsia="Arial" w:hAnsi="Arial" w:cs="Arial"/>
                <w:b/>
                <w:color w:val="000000"/>
                <w:sz w:val="22"/>
                <w:szCs w:val="22"/>
                <w:highlight w:val="yellow"/>
                <w:lang w:val="fr-FR"/>
              </w:rPr>
              <w:t>........................</w:t>
            </w:r>
          </w:p>
        </w:tc>
      </w:tr>
      <w:tr w:rsidR="009B5E8C" w:rsidRPr="00334B39" w14:paraId="397E0315" w14:textId="77777777" w:rsidTr="2C6C8721">
        <w:tc>
          <w:tcPr>
            <w:tcW w:w="4888" w:type="dxa"/>
            <w:gridSpan w:val="2"/>
          </w:tcPr>
          <w:p w14:paraId="03BA53F5" w14:textId="44F7980A" w:rsidR="009B5E8C" w:rsidRPr="00D84652" w:rsidRDefault="004F0741" w:rsidP="00BB4EA3">
            <w:pPr>
              <w:pStyle w:val="SemEspaamento"/>
            </w:pPr>
            <w:r w:rsidRPr="00D84652">
              <w:t xml:space="preserve">A Universidade de Brasília, instituição federal de ensino superior, fundação pública, criada pela Lei nº. 3.998, de 15/12/1961 e instituída pelo Decreto nº. 500, de 15/01/1962, inscrita no CNPJ sob nº. 00.038.174/0001-43, sediada no “Campus Universitário Darcy Ribeiro”, Asa Norte, CEP 70910-900, Brasília/DF, Brasil, neste ato, representada por seu Secretário para Assuntos Internacionais, </w:t>
            </w:r>
            <w:r w:rsidR="00B43500" w:rsidRPr="00B43500">
              <w:t>Prof. Gladston Luiz da Silva, brasileiro, residente e domiciliado em Brasília, DF, portador do CPF nº. 334.165.591-34, com delegação concedida pelo Ato da Reitoria Nº 1542/2024</w:t>
            </w:r>
            <w:r w:rsidR="00B43500">
              <w:t xml:space="preserve"> </w:t>
            </w:r>
            <w:r w:rsidRPr="00D84652">
              <w:t xml:space="preserve">e a </w:t>
            </w:r>
            <w:r w:rsidRPr="00D84652">
              <w:rPr>
                <w:highlight w:val="yellow"/>
              </w:rPr>
              <w:t>Universidade</w:t>
            </w:r>
            <w:r w:rsidR="00661A73" w:rsidRPr="00D84652">
              <w:rPr>
                <w:highlight w:val="yellow"/>
              </w:rPr>
              <w:t xml:space="preserve"> </w:t>
            </w:r>
            <w:r w:rsidRPr="00D84652">
              <w:rPr>
                <w:highlight w:val="yellow"/>
              </w:rPr>
              <w:t>.............</w:t>
            </w:r>
            <w:r w:rsidRPr="00D84652">
              <w:t xml:space="preserve">, com sede em </w:t>
            </w:r>
            <w:r w:rsidRPr="00D84652">
              <w:rPr>
                <w:highlight w:val="yellow"/>
              </w:rPr>
              <w:t>...............................</w:t>
            </w:r>
            <w:r w:rsidRPr="00D84652">
              <w:t>, neste ato, representada por seu Presidente/Reitor, Prof</w:t>
            </w:r>
            <w:r w:rsidRPr="00D84652">
              <w:rPr>
                <w:highlight w:val="yellow"/>
              </w:rPr>
              <w:t>..........................</w:t>
            </w:r>
            <w:r w:rsidRPr="00D84652">
              <w:t xml:space="preserve">, </w:t>
            </w:r>
            <w:r w:rsidR="00764E05" w:rsidRPr="00D84652">
              <w:t xml:space="preserve">acreditado mediante nomeação em seu favor pelo </w:t>
            </w:r>
            <w:r w:rsidR="00764E05" w:rsidRPr="00D84652">
              <w:rPr>
                <w:highlight w:val="yellow"/>
              </w:rPr>
              <w:t>ato ......................</w:t>
            </w:r>
            <w:r w:rsidR="00764E05" w:rsidRPr="00D84652">
              <w:t xml:space="preserve"> </w:t>
            </w:r>
            <w:r w:rsidRPr="00D84652">
              <w:t>resolvem celebrar o presente Memorando de Entendimento Acadêmico, Científico e Cultural, em conformidade com a legislação vigente em seus respectivos países, e mediante as cláusulas e condições a seguir pactuadas:</w:t>
            </w:r>
          </w:p>
        </w:tc>
        <w:tc>
          <w:tcPr>
            <w:tcW w:w="4888" w:type="dxa"/>
            <w:gridSpan w:val="3"/>
          </w:tcPr>
          <w:p w14:paraId="1E3384E5" w14:textId="4BDA11AF" w:rsidR="009B5E8C" w:rsidRPr="00D84652" w:rsidRDefault="003D7FA0" w:rsidP="003D7FA0">
            <w:pPr>
              <w:pStyle w:val="SemEspaamento"/>
              <w:rPr>
                <w:lang w:val="fr-FR"/>
              </w:rPr>
            </w:pPr>
            <w:r w:rsidRPr="00D84652">
              <w:rPr>
                <w:i/>
                <w:lang w:val="fr-FR"/>
              </w:rPr>
              <w:t>L’Universidade de Brasília</w:t>
            </w:r>
            <w:r w:rsidRPr="00D84652">
              <w:rPr>
                <w:b/>
                <w:lang w:val="fr-FR"/>
              </w:rPr>
              <w:t xml:space="preserve">, </w:t>
            </w:r>
            <w:r w:rsidRPr="00D84652">
              <w:rPr>
                <w:lang w:val="fr-FR"/>
              </w:rPr>
              <w:t xml:space="preserve">institution fédérale d'enseignement supérieur, fondation publique, créée par la Loi n° 3998 du 15/12/1961 et instituée par le Décret nº 500 du 15/01/1962, inscrite au CNPJ sous le n° 00.038.174/0001-43, sise au </w:t>
            </w:r>
            <w:r w:rsidRPr="00D84652">
              <w:rPr>
                <w:i/>
                <w:lang w:val="fr-FR"/>
              </w:rPr>
              <w:t>Campus Universitário Darcy Ribeiro, 70910-900, Asa Norte, Brasilia/DF, Brasil</w:t>
            </w:r>
            <w:r w:rsidRPr="00D84652">
              <w:rPr>
                <w:lang w:val="fr-FR"/>
              </w:rPr>
              <w:t xml:space="preserve">, représentée dans cet acte par son Secrétaire aux affaires internationales, M. le professeur </w:t>
            </w:r>
            <w:r w:rsidR="00B43500">
              <w:rPr>
                <w:lang w:val="fr-FR"/>
              </w:rPr>
              <w:t>Gladston Luiz da Silva</w:t>
            </w:r>
            <w:r w:rsidRPr="00D84652">
              <w:rPr>
                <w:lang w:val="fr-FR"/>
              </w:rPr>
              <w:t xml:space="preserve">, de nationalité brésilienne, résident et domicilié à Brasília, DF, CPF nº </w:t>
            </w:r>
            <w:r w:rsidR="00B43500" w:rsidRPr="00B43500">
              <w:rPr>
                <w:lang w:val="fr-FR"/>
              </w:rPr>
              <w:t>334.165.591-34</w:t>
            </w:r>
            <w:r w:rsidRPr="00D84652">
              <w:rPr>
                <w:lang w:val="fr-FR"/>
              </w:rPr>
              <w:t xml:space="preserve">, avec délégation concédée par l’Acte du Recteur n° </w:t>
            </w:r>
            <w:r w:rsidR="00B43500" w:rsidRPr="00B43500">
              <w:t>1542/2024</w:t>
            </w:r>
            <w:r w:rsidR="00B43500">
              <w:t xml:space="preserve"> </w:t>
            </w:r>
            <w:r w:rsidRPr="00D84652">
              <w:rPr>
                <w:lang w:val="fr-FR"/>
              </w:rPr>
              <w:t xml:space="preserve">et </w:t>
            </w:r>
            <w:r w:rsidRPr="00D84652">
              <w:rPr>
                <w:highlight w:val="yellow"/>
                <w:lang w:val="fr-FR"/>
              </w:rPr>
              <w:t>l'Université</w:t>
            </w:r>
            <w:r w:rsidRPr="00D84652">
              <w:rPr>
                <w:b/>
                <w:highlight w:val="yellow"/>
                <w:lang w:val="fr-FR"/>
              </w:rPr>
              <w:t xml:space="preserve"> </w:t>
            </w:r>
            <w:r w:rsidRPr="00D84652">
              <w:rPr>
                <w:highlight w:val="yellow"/>
                <w:lang w:val="fr-FR"/>
              </w:rPr>
              <w:t>.............</w:t>
            </w:r>
            <w:r w:rsidRPr="00D84652">
              <w:rPr>
                <w:lang w:val="fr-FR"/>
              </w:rPr>
              <w:t xml:space="preserve">, sise </w:t>
            </w:r>
            <w:r w:rsidRPr="00D84652">
              <w:rPr>
                <w:highlight w:val="yellow"/>
                <w:lang w:val="fr-FR"/>
              </w:rPr>
              <w:t>à.................</w:t>
            </w:r>
            <w:r w:rsidRPr="00D84652">
              <w:rPr>
                <w:lang w:val="fr-FR"/>
              </w:rPr>
              <w:t xml:space="preserve">, représentée dans cet acte par son Président, M. le professeur </w:t>
            </w:r>
            <w:r w:rsidRPr="00D84652">
              <w:rPr>
                <w:highlight w:val="yellow"/>
                <w:lang w:val="fr-FR"/>
              </w:rPr>
              <w:t>...............</w:t>
            </w:r>
            <w:r w:rsidRPr="00D84652">
              <w:rPr>
                <w:lang w:val="fr-FR"/>
              </w:rPr>
              <w:t>, accrédité dès nomination en sa faveur par l'</w:t>
            </w:r>
            <w:r w:rsidRPr="00D84652">
              <w:rPr>
                <w:highlight w:val="yellow"/>
                <w:lang w:val="fr-FR"/>
              </w:rPr>
              <w:t>acte</w:t>
            </w:r>
            <w:r w:rsidRPr="00D84652">
              <w:rPr>
                <w:lang w:val="fr-FR"/>
              </w:rPr>
              <w:t xml:space="preserve"> </w:t>
            </w:r>
            <w:r w:rsidRPr="00D84652">
              <w:rPr>
                <w:highlight w:val="yellow"/>
                <w:lang w:val="fr-FR"/>
              </w:rPr>
              <w:t>..................................</w:t>
            </w:r>
            <w:r w:rsidRPr="00D84652">
              <w:rPr>
                <w:lang w:val="fr-FR"/>
              </w:rPr>
              <w:t>, ont décidé de signer le présent Mémorandum d’Entente Académique, Scientifique et Culturel, en accord avec la législation en vigueur dans leurs pays respectifs et selon les clauses et conditions suivantes :</w:t>
            </w:r>
          </w:p>
        </w:tc>
      </w:tr>
      <w:tr w:rsidR="004F0741" w:rsidRPr="00334B39" w14:paraId="23EDC081" w14:textId="77777777" w:rsidTr="2C6C8721">
        <w:tc>
          <w:tcPr>
            <w:tcW w:w="4888" w:type="dxa"/>
            <w:gridSpan w:val="2"/>
          </w:tcPr>
          <w:p w14:paraId="28A33274" w14:textId="271BB4EB" w:rsidR="004F0741" w:rsidRPr="00D84652" w:rsidRDefault="004F0741" w:rsidP="00BB4EA3">
            <w:pPr>
              <w:pStyle w:val="Ttulo1"/>
            </w:pPr>
            <w:r w:rsidRPr="00D84652">
              <w:t>DO OBJETO</w:t>
            </w:r>
          </w:p>
        </w:tc>
        <w:tc>
          <w:tcPr>
            <w:tcW w:w="4888" w:type="dxa"/>
            <w:gridSpan w:val="3"/>
          </w:tcPr>
          <w:p w14:paraId="17D3659C" w14:textId="6E413AD0" w:rsidR="004F0741" w:rsidRPr="00D84652" w:rsidRDefault="003D7FA0" w:rsidP="00BB4EA3">
            <w:pPr>
              <w:pStyle w:val="Ttulo1"/>
              <w:rPr>
                <w:lang w:val="fr-FR"/>
              </w:rPr>
            </w:pPr>
            <w:r w:rsidRPr="00D84652">
              <w:rPr>
                <w:lang w:val="fr-FR"/>
              </w:rPr>
              <w:t>DE L'OBJET</w:t>
            </w:r>
          </w:p>
        </w:tc>
      </w:tr>
      <w:tr w:rsidR="004F0741" w:rsidRPr="00B43500" w14:paraId="217B8CAC" w14:textId="77777777" w:rsidTr="2C6C8721">
        <w:tc>
          <w:tcPr>
            <w:tcW w:w="4888" w:type="dxa"/>
            <w:gridSpan w:val="2"/>
          </w:tcPr>
          <w:p w14:paraId="733CF853" w14:textId="348521B6" w:rsidR="004F0741" w:rsidRPr="00D84652" w:rsidRDefault="004F0741" w:rsidP="00BB4EA3">
            <w:pPr>
              <w:pStyle w:val="SemEspaamento"/>
            </w:pPr>
            <w:r w:rsidRPr="00D84652">
              <w:rPr>
                <w:b/>
              </w:rPr>
              <w:t>CLÁUSULA PRIMEIRA</w:t>
            </w:r>
            <w:r w:rsidRPr="00D84652">
              <w:rPr>
                <w:bCs/>
              </w:rPr>
              <w:t xml:space="preserve"> </w:t>
            </w:r>
            <w:r w:rsidR="000D76BC" w:rsidRPr="00D84652">
              <w:rPr>
                <w:bCs/>
              </w:rPr>
              <w:t>–</w:t>
            </w:r>
            <w:r w:rsidRPr="00D84652">
              <w:rPr>
                <w:bCs/>
              </w:rPr>
              <w:t xml:space="preserve"> </w:t>
            </w:r>
            <w:r w:rsidRPr="00D84652">
              <w:t>O presente Memorando regula a forma e as condições pelas quais as partes convenentes se propõem a desenvolver um programa de mútua cooperação e intercâmbio acadêmico, científico e cultural, envolvendo áreas de interesse mútuo.</w:t>
            </w:r>
          </w:p>
          <w:p w14:paraId="050F84E9" w14:textId="77777777" w:rsidR="004F0741" w:rsidRPr="00D84652" w:rsidRDefault="004F0741" w:rsidP="00BB4EA3">
            <w:pPr>
              <w:pStyle w:val="SemEspaamento"/>
            </w:pPr>
            <w:r w:rsidRPr="00D84652">
              <w:t>O programa de cooperação referido nesta cláusula envolverá, especificamente:</w:t>
            </w:r>
          </w:p>
          <w:p w14:paraId="3F6AA2C1" w14:textId="77777777" w:rsidR="004F0741" w:rsidRPr="00D84652" w:rsidRDefault="004F0741" w:rsidP="00FC40B5">
            <w:pPr>
              <w:pStyle w:val="Ttulo3"/>
              <w:rPr>
                <w:lang w:val="pt-BR"/>
              </w:rPr>
            </w:pPr>
            <w:r w:rsidRPr="00D84652">
              <w:rPr>
                <w:lang w:val="pt-BR"/>
              </w:rPr>
              <w:t>troca de informações entre os responsáveis por trabalhos de pesquisas;</w:t>
            </w:r>
          </w:p>
          <w:p w14:paraId="78F2A438" w14:textId="77777777" w:rsidR="004F0741" w:rsidRPr="00D84652" w:rsidRDefault="004F0741" w:rsidP="00FC40B5">
            <w:pPr>
              <w:pStyle w:val="Ttulo3"/>
              <w:rPr>
                <w:lang w:val="pt-BR"/>
              </w:rPr>
            </w:pPr>
            <w:r w:rsidRPr="00D84652">
              <w:rPr>
                <w:lang w:val="pt-BR"/>
              </w:rPr>
              <w:t>elaboração de programas de pesquisas;</w:t>
            </w:r>
          </w:p>
          <w:p w14:paraId="0F92FDF2" w14:textId="77777777" w:rsidR="004F0741" w:rsidRPr="00D84652" w:rsidRDefault="004F0741" w:rsidP="00FC40B5">
            <w:pPr>
              <w:pStyle w:val="Ttulo3"/>
              <w:rPr>
                <w:lang w:val="pt-BR"/>
              </w:rPr>
            </w:pPr>
            <w:r w:rsidRPr="00D84652">
              <w:rPr>
                <w:lang w:val="pt-BR"/>
              </w:rPr>
              <w:t>permuta de equipamentos e material bibliográfico</w:t>
            </w:r>
          </w:p>
          <w:p w14:paraId="1524DB4C" w14:textId="77777777" w:rsidR="004F0741" w:rsidRPr="00D84652" w:rsidRDefault="004F0741" w:rsidP="00FC40B5">
            <w:pPr>
              <w:pStyle w:val="Ttulo3"/>
              <w:rPr>
                <w:lang w:val="pt-BR"/>
              </w:rPr>
            </w:pPr>
            <w:r w:rsidRPr="00D84652">
              <w:rPr>
                <w:lang w:val="pt-BR"/>
              </w:rPr>
              <w:t>troca de experiências e informações pedagógicas;</w:t>
            </w:r>
          </w:p>
          <w:p w14:paraId="41FDB6CB" w14:textId="77777777" w:rsidR="004F0741" w:rsidRPr="00D84652" w:rsidRDefault="004F0741" w:rsidP="00FC40B5">
            <w:pPr>
              <w:pStyle w:val="Ttulo3"/>
              <w:rPr>
                <w:lang w:val="pt-BR"/>
              </w:rPr>
            </w:pPr>
            <w:r w:rsidRPr="00D84652">
              <w:rPr>
                <w:lang w:val="pt-BR"/>
              </w:rPr>
              <w:t>permuta de recursos de ensino;</w:t>
            </w:r>
          </w:p>
          <w:p w14:paraId="2F2393F9" w14:textId="77777777" w:rsidR="004F0741" w:rsidRPr="00D84652" w:rsidRDefault="004F0741" w:rsidP="00FC40B5">
            <w:pPr>
              <w:pStyle w:val="Ttulo3"/>
              <w:rPr>
                <w:lang w:val="pt-BR"/>
              </w:rPr>
            </w:pPr>
            <w:r w:rsidRPr="00D84652">
              <w:rPr>
                <w:lang w:val="pt-BR"/>
              </w:rPr>
              <w:t>intercâmbio de professores, estudantes, especialistas e técnicos administrativos;</w:t>
            </w:r>
          </w:p>
          <w:p w14:paraId="2B9399DD" w14:textId="577E9B95" w:rsidR="004F0741" w:rsidRPr="00D84652" w:rsidRDefault="004F0741" w:rsidP="00FC40B5">
            <w:pPr>
              <w:pStyle w:val="Ttulo3"/>
              <w:rPr>
                <w:lang w:val="pt-BR"/>
              </w:rPr>
            </w:pPr>
            <w:r w:rsidRPr="00D84652">
              <w:rPr>
                <w:lang w:val="pt-BR"/>
              </w:rPr>
              <w:lastRenderedPageBreak/>
              <w:t>presença recíproca em eventuais debates, conferências ou simpósios de mútuo interesse.</w:t>
            </w:r>
          </w:p>
        </w:tc>
        <w:tc>
          <w:tcPr>
            <w:tcW w:w="4888" w:type="dxa"/>
            <w:gridSpan w:val="3"/>
          </w:tcPr>
          <w:p w14:paraId="15FA6684" w14:textId="075E9FC6" w:rsidR="003D7FA0" w:rsidRPr="00D84652" w:rsidRDefault="003D7FA0" w:rsidP="003D7FA0">
            <w:pPr>
              <w:pStyle w:val="SemEspaamento"/>
              <w:rPr>
                <w:lang w:val="fr-FR"/>
              </w:rPr>
            </w:pPr>
            <w:r w:rsidRPr="00D84652">
              <w:rPr>
                <w:b/>
                <w:lang w:val="fr-FR"/>
              </w:rPr>
              <w:lastRenderedPageBreak/>
              <w:t>CLAUSE PREMIÈRE</w:t>
            </w:r>
            <w:r w:rsidRPr="00D84652">
              <w:rPr>
                <w:lang w:val="fr-FR"/>
              </w:rPr>
              <w:t xml:space="preserve"> </w:t>
            </w:r>
            <w:r w:rsidR="00DF1B79" w:rsidRPr="00D84652">
              <w:rPr>
                <w:lang w:val="fr-FR"/>
              </w:rPr>
              <w:t>–</w:t>
            </w:r>
            <w:r w:rsidRPr="00D84652">
              <w:rPr>
                <w:lang w:val="fr-FR"/>
              </w:rPr>
              <w:t xml:space="preserve"> Le présent Mémorandum fixe le cadre et les conditions par lesquelles les parties contractantes se proposent de promouvoir un programme de coopération et d’échange académique, scientifique et culturel dans des domaines d’intérêt mutuel.</w:t>
            </w:r>
          </w:p>
          <w:p w14:paraId="423B9891" w14:textId="77777777" w:rsidR="003D7FA0" w:rsidRPr="00D84652" w:rsidRDefault="003D7FA0" w:rsidP="003D7FA0">
            <w:pPr>
              <w:pStyle w:val="SemEspaamento"/>
              <w:rPr>
                <w:lang w:val="fr-FR"/>
              </w:rPr>
            </w:pPr>
            <w:r w:rsidRPr="00D84652">
              <w:rPr>
                <w:lang w:val="fr-FR"/>
              </w:rPr>
              <w:t>Le programme de cooperation dont il est fait référence dans cette clause concerne spécifiquement :</w:t>
            </w:r>
          </w:p>
          <w:p w14:paraId="0358B883" w14:textId="77777777" w:rsidR="003D7FA0" w:rsidRPr="00D84652" w:rsidRDefault="003D7FA0" w:rsidP="003D7FA0">
            <w:pPr>
              <w:pStyle w:val="Ttulo3"/>
              <w:numPr>
                <w:ilvl w:val="0"/>
                <w:numId w:val="22"/>
              </w:numPr>
              <w:rPr>
                <w:lang w:val="fr-FR"/>
              </w:rPr>
            </w:pPr>
            <w:r w:rsidRPr="00D84652">
              <w:rPr>
                <w:lang w:val="fr-FR"/>
              </w:rPr>
              <w:t>l'échange d’informations entre les responsables de travaux de recherche ;</w:t>
            </w:r>
          </w:p>
          <w:p w14:paraId="7DAB3827" w14:textId="77777777" w:rsidR="003D7FA0" w:rsidRPr="00D84652" w:rsidRDefault="003D7FA0" w:rsidP="003D7FA0">
            <w:pPr>
              <w:pStyle w:val="Ttulo3"/>
              <w:rPr>
                <w:lang w:val="fr-FR"/>
              </w:rPr>
            </w:pPr>
            <w:r w:rsidRPr="00D84652">
              <w:rPr>
                <w:lang w:val="fr-FR"/>
              </w:rPr>
              <w:t>l'élaboration de programmes de recherche ;</w:t>
            </w:r>
          </w:p>
          <w:p w14:paraId="2C9623B5" w14:textId="77777777" w:rsidR="003D7FA0" w:rsidRPr="00D84652" w:rsidRDefault="003D7FA0" w:rsidP="003D7FA0">
            <w:pPr>
              <w:pStyle w:val="Ttulo3"/>
              <w:rPr>
                <w:lang w:val="fr-FR"/>
              </w:rPr>
            </w:pPr>
            <w:r w:rsidRPr="00D84652">
              <w:rPr>
                <w:lang w:val="fr-FR"/>
              </w:rPr>
              <w:t>l'échange d’équipements et de matériels bibliographiques ;</w:t>
            </w:r>
          </w:p>
          <w:p w14:paraId="16E4B431" w14:textId="77777777" w:rsidR="003D7FA0" w:rsidRPr="00D84652" w:rsidRDefault="003D7FA0" w:rsidP="003D7FA0">
            <w:pPr>
              <w:pStyle w:val="Ttulo3"/>
              <w:rPr>
                <w:lang w:val="fr-FR"/>
              </w:rPr>
            </w:pPr>
            <w:r w:rsidRPr="00D84652">
              <w:rPr>
                <w:lang w:val="fr-FR"/>
              </w:rPr>
              <w:t>l'échange d’expériences et d’informations pédagogiques ;</w:t>
            </w:r>
          </w:p>
          <w:p w14:paraId="5EE182AE" w14:textId="77777777" w:rsidR="003D7FA0" w:rsidRPr="00D84652" w:rsidRDefault="003D7FA0" w:rsidP="003D7FA0">
            <w:pPr>
              <w:pStyle w:val="Ttulo3"/>
              <w:rPr>
                <w:lang w:val="fr-FR"/>
              </w:rPr>
            </w:pPr>
            <w:r w:rsidRPr="00D84652">
              <w:rPr>
                <w:lang w:val="fr-FR"/>
              </w:rPr>
              <w:t>l'échange de ressources d’enseignement ;</w:t>
            </w:r>
          </w:p>
          <w:p w14:paraId="0C5F46F9" w14:textId="77777777" w:rsidR="003D7FA0" w:rsidRPr="00D84652" w:rsidRDefault="003D7FA0" w:rsidP="003D7FA0">
            <w:pPr>
              <w:pStyle w:val="Ttulo3"/>
              <w:rPr>
                <w:lang w:val="fr-FR"/>
              </w:rPr>
            </w:pPr>
            <w:r w:rsidRPr="00D84652">
              <w:rPr>
                <w:lang w:val="fr-FR"/>
              </w:rPr>
              <w:lastRenderedPageBreak/>
              <w:t>l'échange de professeurs, d’étudiants, de spécialistes et de personnels administratif ;</w:t>
            </w:r>
          </w:p>
          <w:p w14:paraId="58828029" w14:textId="30884E28" w:rsidR="004F0741" w:rsidRPr="00D84652" w:rsidRDefault="003D7FA0" w:rsidP="003D7FA0">
            <w:pPr>
              <w:pStyle w:val="Ttulo3"/>
              <w:rPr>
                <w:lang w:val="fr-FR"/>
              </w:rPr>
            </w:pPr>
            <w:r w:rsidRPr="00D84652">
              <w:rPr>
                <w:lang w:val="fr-FR"/>
              </w:rPr>
              <w:t>la présence réciproque aux éventuels débats, conférences ou évènements d’intêret mutuel.</w:t>
            </w:r>
          </w:p>
        </w:tc>
      </w:tr>
      <w:tr w:rsidR="004F0741" w:rsidRPr="00334B39" w14:paraId="7AE90588" w14:textId="77777777" w:rsidTr="2C6C8721">
        <w:tc>
          <w:tcPr>
            <w:tcW w:w="4888" w:type="dxa"/>
            <w:gridSpan w:val="2"/>
          </w:tcPr>
          <w:p w14:paraId="7A776AE8" w14:textId="2CFF42A0" w:rsidR="004F0741" w:rsidRPr="00D84652" w:rsidRDefault="004F0741" w:rsidP="00BB4EA3">
            <w:pPr>
              <w:pStyle w:val="Ttulo1"/>
            </w:pPr>
            <w:r w:rsidRPr="00D84652">
              <w:lastRenderedPageBreak/>
              <w:t>DAS CONDIÇÕES</w:t>
            </w:r>
          </w:p>
        </w:tc>
        <w:tc>
          <w:tcPr>
            <w:tcW w:w="4888" w:type="dxa"/>
            <w:gridSpan w:val="3"/>
          </w:tcPr>
          <w:p w14:paraId="524D4F53" w14:textId="626B3C86" w:rsidR="004F0741" w:rsidRPr="00D84652" w:rsidRDefault="00DF1B79" w:rsidP="00BB4EA3">
            <w:pPr>
              <w:pStyle w:val="Ttulo1"/>
              <w:rPr>
                <w:lang w:val="fr-FR"/>
              </w:rPr>
            </w:pPr>
            <w:r w:rsidRPr="00D84652">
              <w:rPr>
                <w:lang w:val="fr-FR"/>
              </w:rPr>
              <w:t>DES</w:t>
            </w:r>
            <w:r w:rsidRPr="00D84652">
              <w:rPr>
                <w:b w:val="0"/>
                <w:lang w:val="fr-FR"/>
              </w:rPr>
              <w:t xml:space="preserve"> </w:t>
            </w:r>
            <w:r w:rsidRPr="00D84652">
              <w:rPr>
                <w:lang w:val="fr-FR"/>
              </w:rPr>
              <w:t>CONDITIONS</w:t>
            </w:r>
          </w:p>
        </w:tc>
      </w:tr>
      <w:tr w:rsidR="004F0741" w:rsidRPr="00334B39" w14:paraId="0F8EED94" w14:textId="77777777" w:rsidTr="2C6C8721">
        <w:tc>
          <w:tcPr>
            <w:tcW w:w="4888" w:type="dxa"/>
            <w:gridSpan w:val="2"/>
          </w:tcPr>
          <w:p w14:paraId="30568982" w14:textId="37F0AA15" w:rsidR="004F0741" w:rsidRPr="00D84652" w:rsidRDefault="004F0741" w:rsidP="00BB4EA3">
            <w:pPr>
              <w:pStyle w:val="SemEspaamento"/>
            </w:pPr>
            <w:r w:rsidRPr="00D84652">
              <w:rPr>
                <w:b/>
              </w:rPr>
              <w:t>CLÁUSULA SEGUNDA</w:t>
            </w:r>
            <w:r w:rsidRPr="00D84652">
              <w:t xml:space="preserve"> </w:t>
            </w:r>
            <w:r w:rsidR="000D76BC" w:rsidRPr="00D84652">
              <w:t>–</w:t>
            </w:r>
            <w:r w:rsidRPr="00D84652">
              <w:t xml:space="preserve"> Par</w:t>
            </w:r>
            <w:r w:rsidR="000D76BC" w:rsidRPr="00D84652">
              <w:t>a</w:t>
            </w:r>
            <w:r w:rsidRPr="00D84652">
              <w:t xml:space="preserve"> a consecução do objeto proposto, a </w:t>
            </w:r>
            <w:r w:rsidRPr="00D84652">
              <w:rPr>
                <w:i/>
                <w:highlight w:val="yellow"/>
              </w:rPr>
              <w:t>Universidade ...................</w:t>
            </w:r>
            <w:r w:rsidRPr="00D84652">
              <w:t xml:space="preserve"> e a Universidade de Brasília comprometem-se a:</w:t>
            </w:r>
          </w:p>
          <w:p w14:paraId="02E61E1E" w14:textId="273B2B64" w:rsidR="004F0741" w:rsidRPr="00D84652" w:rsidRDefault="00636576" w:rsidP="00FC40B5">
            <w:pPr>
              <w:pStyle w:val="Ttulo3"/>
              <w:numPr>
                <w:ilvl w:val="0"/>
                <w:numId w:val="10"/>
              </w:numPr>
              <w:rPr>
                <w:lang w:val="pt-BR"/>
              </w:rPr>
            </w:pPr>
            <w:r w:rsidRPr="00D84652">
              <w:rPr>
                <w:lang w:val="pt-BR"/>
              </w:rPr>
              <w:t>d</w:t>
            </w:r>
            <w:r w:rsidR="004F0741" w:rsidRPr="00D84652">
              <w:rPr>
                <w:lang w:val="pt-BR"/>
              </w:rPr>
              <w:t>esignar os respectivos executores deste Memorando;</w:t>
            </w:r>
          </w:p>
          <w:p w14:paraId="511E08DD" w14:textId="2516DC17" w:rsidR="004F0741" w:rsidRPr="00D84652" w:rsidRDefault="00636576" w:rsidP="00FC40B5">
            <w:pPr>
              <w:pStyle w:val="Ttulo3"/>
              <w:rPr>
                <w:lang w:val="pt-BR"/>
              </w:rPr>
            </w:pPr>
            <w:r w:rsidRPr="00D84652">
              <w:rPr>
                <w:lang w:val="pt-BR"/>
              </w:rPr>
              <w:t>e</w:t>
            </w:r>
            <w:r w:rsidR="004F0741" w:rsidRPr="00D84652">
              <w:rPr>
                <w:lang w:val="pt-BR"/>
              </w:rPr>
              <w:t>stimular, no âmbito das respectivas instituições, o estudo do idioma, da literatura e da cultura dos respectivos países;</w:t>
            </w:r>
          </w:p>
          <w:p w14:paraId="0846E753" w14:textId="7D3C7821" w:rsidR="004F0741" w:rsidRPr="00D84652" w:rsidRDefault="00636576" w:rsidP="00FC40B5">
            <w:pPr>
              <w:pStyle w:val="Ttulo3"/>
              <w:rPr>
                <w:lang w:val="pt-BR"/>
              </w:rPr>
            </w:pPr>
            <w:r w:rsidRPr="00D84652">
              <w:rPr>
                <w:lang w:val="pt-BR"/>
              </w:rPr>
              <w:t>p</w:t>
            </w:r>
            <w:r w:rsidR="004F0741" w:rsidRPr="00D84652">
              <w:rPr>
                <w:lang w:val="pt-BR"/>
              </w:rPr>
              <w:t>romover estágio e permitir ao pessoal pertencente às instituições que integram o presente Memorando, acesso às dependências e instalações do departamento específico da Instituição;</w:t>
            </w:r>
          </w:p>
          <w:p w14:paraId="232507E3" w14:textId="18D9EB1B" w:rsidR="004F0741" w:rsidRPr="00D84652" w:rsidRDefault="00636576" w:rsidP="00FC40B5">
            <w:pPr>
              <w:pStyle w:val="Ttulo3"/>
              <w:rPr>
                <w:lang w:val="pt-BR"/>
              </w:rPr>
            </w:pPr>
            <w:r w:rsidRPr="00D84652">
              <w:rPr>
                <w:lang w:val="pt-BR"/>
              </w:rPr>
              <w:t>a</w:t>
            </w:r>
            <w:r w:rsidR="004F0741" w:rsidRPr="00D84652">
              <w:rPr>
                <w:lang w:val="pt-BR"/>
              </w:rPr>
              <w:t>ssegurar que os resultados decorrentes de pesquisa comum sejam amplamente divulgados com expressa menção deste Memorando e, também, o mútuo direito de patente e autoria, observadas as regulamentações jurídicas internas das partes acordantes;</w:t>
            </w:r>
          </w:p>
          <w:p w14:paraId="253F79AB" w14:textId="62B6D26F" w:rsidR="004F0741" w:rsidRPr="00D84652" w:rsidRDefault="00636576" w:rsidP="00FC40B5">
            <w:pPr>
              <w:pStyle w:val="Ttulo3"/>
              <w:rPr>
                <w:lang w:val="pt-BR"/>
              </w:rPr>
            </w:pPr>
            <w:r w:rsidRPr="00D84652">
              <w:rPr>
                <w:lang w:val="pt-BR"/>
              </w:rPr>
              <w:t>e</w:t>
            </w:r>
            <w:r w:rsidR="004F0741" w:rsidRPr="00D84652">
              <w:rPr>
                <w:lang w:val="pt-BR"/>
              </w:rPr>
              <w:t>laborar plano de trabalho conjunto para cada atividade de cooperação. Casos específicos serão objeto de convênios próprios.</w:t>
            </w:r>
          </w:p>
        </w:tc>
        <w:tc>
          <w:tcPr>
            <w:tcW w:w="4888" w:type="dxa"/>
            <w:gridSpan w:val="3"/>
          </w:tcPr>
          <w:p w14:paraId="28271002" w14:textId="39EB1EB1" w:rsidR="00DF1B79" w:rsidRPr="00D84652" w:rsidRDefault="00DF1B79" w:rsidP="00DF1B79">
            <w:pPr>
              <w:pStyle w:val="SemEspaamento"/>
              <w:rPr>
                <w:lang w:val="fr-FR"/>
              </w:rPr>
            </w:pPr>
            <w:r w:rsidRPr="00D84652">
              <w:rPr>
                <w:b/>
                <w:lang w:val="fr-FR"/>
              </w:rPr>
              <w:t xml:space="preserve">CLAUSE DEUXIÈME </w:t>
            </w:r>
            <w:r w:rsidRPr="00D84652">
              <w:rPr>
                <w:bCs/>
                <w:lang w:val="fr-FR"/>
              </w:rPr>
              <w:t xml:space="preserve">– </w:t>
            </w:r>
            <w:r w:rsidRPr="00D84652">
              <w:rPr>
                <w:lang w:val="fr-FR"/>
              </w:rPr>
              <w:t>Pour atteindre l’objet fixé, l’</w:t>
            </w:r>
            <w:r w:rsidRPr="00D84652">
              <w:rPr>
                <w:highlight w:val="yellow"/>
                <w:lang w:val="fr-FR"/>
              </w:rPr>
              <w:t>Université....   ........</w:t>
            </w:r>
            <w:r w:rsidRPr="00D84652">
              <w:rPr>
                <w:lang w:val="fr-FR"/>
              </w:rPr>
              <w:t xml:space="preserve"> et L’Universidade</w:t>
            </w:r>
            <w:r w:rsidRPr="00D84652">
              <w:rPr>
                <w:i/>
                <w:lang w:val="fr-FR"/>
              </w:rPr>
              <w:t xml:space="preserve"> de Brasília</w:t>
            </w:r>
            <w:r w:rsidRPr="00D84652">
              <w:rPr>
                <w:lang w:val="fr-FR"/>
              </w:rPr>
              <w:t xml:space="preserve"> s’engagent à :</w:t>
            </w:r>
          </w:p>
          <w:p w14:paraId="7D9DF19E" w14:textId="402A32B8" w:rsidR="00DF1B79" w:rsidRPr="00D84652" w:rsidRDefault="00DF1B79" w:rsidP="00DF1B79">
            <w:pPr>
              <w:pStyle w:val="Ttulo3"/>
              <w:numPr>
                <w:ilvl w:val="0"/>
                <w:numId w:val="24"/>
              </w:numPr>
              <w:rPr>
                <w:lang w:val="fr-FR"/>
              </w:rPr>
            </w:pPr>
            <w:r w:rsidRPr="00D84652">
              <w:rPr>
                <w:lang w:val="fr-FR"/>
              </w:rPr>
              <w:t>désigner un responsable d’échanges dans chaque université ;</w:t>
            </w:r>
          </w:p>
          <w:p w14:paraId="2F4B32E2" w14:textId="4C8DE467" w:rsidR="00DF1B79" w:rsidRPr="00D84652" w:rsidRDefault="00DF1B79" w:rsidP="00DF1B79">
            <w:pPr>
              <w:pStyle w:val="Ttulo3"/>
              <w:rPr>
                <w:lang w:val="fr-FR"/>
              </w:rPr>
            </w:pPr>
            <w:r w:rsidRPr="00D84652">
              <w:rPr>
                <w:lang w:val="fr-FR"/>
              </w:rPr>
              <w:t xml:space="preserve">stimuler l’étude de la langue, de la litterature et de la culture du pays d’accueil ; </w:t>
            </w:r>
          </w:p>
          <w:p w14:paraId="72EBE4EF" w14:textId="23141A70" w:rsidR="00DF1B79" w:rsidRPr="00D84652" w:rsidRDefault="00DF1B79" w:rsidP="00DF1B79">
            <w:pPr>
              <w:pStyle w:val="Ttulo3"/>
              <w:rPr>
                <w:lang w:val="fr-FR"/>
              </w:rPr>
            </w:pPr>
            <w:r w:rsidRPr="00D84652">
              <w:rPr>
                <w:lang w:val="fr-FR"/>
              </w:rPr>
              <w:t>promouvoir les stages et permettre au personnel des institutions signataires l’accès aux installations du département spécifique de l’établissement d’accueil ;</w:t>
            </w:r>
          </w:p>
          <w:p w14:paraId="5EBAA70C" w14:textId="226CD668" w:rsidR="00DF1B79" w:rsidRPr="00D84652" w:rsidRDefault="00DF1B79" w:rsidP="00DF1B79">
            <w:pPr>
              <w:pStyle w:val="Ttulo3"/>
              <w:rPr>
                <w:lang w:val="fr-FR"/>
              </w:rPr>
            </w:pPr>
            <w:r w:rsidRPr="00D84652">
              <w:rPr>
                <w:lang w:val="fr-FR"/>
              </w:rPr>
              <w:t>garantir que les résultats provenant de la recherche commune soient amplement diffusés avec mention expresse de ce Mémorandum et, également, le droit mutuel de brevet et droit d’auteur, dans le respect de la réglementation juridique interne des parties signataires ;</w:t>
            </w:r>
          </w:p>
          <w:p w14:paraId="0F2B6A05" w14:textId="4C6B9A1A" w:rsidR="004F0741" w:rsidRPr="00D84652" w:rsidRDefault="00DF1B79" w:rsidP="00DF1B79">
            <w:pPr>
              <w:pStyle w:val="Ttulo3"/>
              <w:rPr>
                <w:bCs/>
                <w:lang w:val="fr-FR"/>
              </w:rPr>
            </w:pPr>
            <w:r w:rsidRPr="00D84652">
              <w:rPr>
                <w:lang w:val="fr-FR"/>
              </w:rPr>
              <w:t>élaborer ensemble un plan de travail pour chaque activité de coopération. Des cas particuliers feront l’objet de conventions spécifiques.</w:t>
            </w:r>
          </w:p>
        </w:tc>
      </w:tr>
      <w:tr w:rsidR="004F0741" w:rsidRPr="00334B39" w14:paraId="7235CA9B" w14:textId="77777777" w:rsidTr="2C6C8721">
        <w:tc>
          <w:tcPr>
            <w:tcW w:w="4888" w:type="dxa"/>
            <w:gridSpan w:val="2"/>
          </w:tcPr>
          <w:p w14:paraId="7294EC47" w14:textId="6638440C" w:rsidR="004F0741" w:rsidRPr="00D84652" w:rsidRDefault="004F0741" w:rsidP="00BB4EA3">
            <w:pPr>
              <w:pStyle w:val="Ttulo1"/>
            </w:pPr>
            <w:r w:rsidRPr="00D84652">
              <w:t>DO INTERCÂMBIO</w:t>
            </w:r>
          </w:p>
        </w:tc>
        <w:tc>
          <w:tcPr>
            <w:tcW w:w="4888" w:type="dxa"/>
            <w:gridSpan w:val="3"/>
          </w:tcPr>
          <w:p w14:paraId="56396072" w14:textId="439B8EF0" w:rsidR="004F0741" w:rsidRPr="00D84652" w:rsidRDefault="00DF1B79" w:rsidP="00BB4EA3">
            <w:pPr>
              <w:pStyle w:val="Ttulo1"/>
              <w:rPr>
                <w:lang w:val="fr-FR"/>
              </w:rPr>
            </w:pPr>
            <w:r w:rsidRPr="00D84652">
              <w:rPr>
                <w:lang w:val="fr-FR"/>
              </w:rPr>
              <w:t>DE</w:t>
            </w:r>
            <w:r w:rsidRPr="00D84652">
              <w:rPr>
                <w:b w:val="0"/>
                <w:lang w:val="fr-FR"/>
              </w:rPr>
              <w:t xml:space="preserve"> </w:t>
            </w:r>
            <w:r w:rsidRPr="00D84652">
              <w:rPr>
                <w:lang w:val="fr-FR"/>
              </w:rPr>
              <w:t>L’ÉCHANGE</w:t>
            </w:r>
          </w:p>
        </w:tc>
      </w:tr>
      <w:tr w:rsidR="004F0741" w:rsidRPr="00B43500" w14:paraId="0D379939" w14:textId="77777777" w:rsidTr="2C6C8721">
        <w:tc>
          <w:tcPr>
            <w:tcW w:w="4888" w:type="dxa"/>
            <w:gridSpan w:val="2"/>
          </w:tcPr>
          <w:p w14:paraId="5EB4CE45" w14:textId="6FA61963" w:rsidR="004F0741" w:rsidRPr="00D84652" w:rsidRDefault="004F0741" w:rsidP="00BB4EA3">
            <w:pPr>
              <w:pStyle w:val="SemEspaamento"/>
            </w:pPr>
            <w:r w:rsidRPr="00D84652">
              <w:rPr>
                <w:b/>
              </w:rPr>
              <w:t>CLÁUSULA TERCEIRA</w:t>
            </w:r>
            <w:r w:rsidR="00661A73" w:rsidRPr="00D84652">
              <w:rPr>
                <w:bCs/>
              </w:rPr>
              <w:t xml:space="preserve"> – </w:t>
            </w:r>
            <w:r w:rsidRPr="00D84652">
              <w:t>O intercâmbio se realizará mediante as seguintes condições:</w:t>
            </w:r>
          </w:p>
          <w:p w14:paraId="595A0ABA" w14:textId="77777777" w:rsidR="004F0741" w:rsidRPr="00D84652" w:rsidRDefault="004F0741" w:rsidP="00FC40B5">
            <w:pPr>
              <w:pStyle w:val="Ttulo3"/>
              <w:numPr>
                <w:ilvl w:val="0"/>
                <w:numId w:val="11"/>
              </w:numPr>
              <w:rPr>
                <w:lang w:val="pt-BR"/>
              </w:rPr>
            </w:pPr>
            <w:r w:rsidRPr="00D84652">
              <w:rPr>
                <w:lang w:val="pt-BR"/>
              </w:rPr>
              <w:t>Do intercâmbio de estudantes:</w:t>
            </w:r>
          </w:p>
          <w:p w14:paraId="6E5A5D5B" w14:textId="77777777" w:rsidR="004F0741" w:rsidRPr="00D84652" w:rsidRDefault="004F0741" w:rsidP="00FC40B5">
            <w:pPr>
              <w:pStyle w:val="Ttulo4"/>
              <w:rPr>
                <w:lang w:val="pt-BR"/>
              </w:rPr>
            </w:pPr>
            <w:r w:rsidRPr="00D84652">
              <w:rPr>
                <w:lang w:val="pt-BR"/>
              </w:rPr>
              <w:t>O número de estudantes participantes dos programas de intercâmbio será determinado mediante prévio entendimento;</w:t>
            </w:r>
          </w:p>
          <w:p w14:paraId="1BBC5975" w14:textId="77777777" w:rsidR="004F0741" w:rsidRPr="00D84652" w:rsidRDefault="004F0741" w:rsidP="00FC40B5">
            <w:pPr>
              <w:pStyle w:val="Ttulo4"/>
              <w:rPr>
                <w:lang w:val="pt-BR"/>
              </w:rPr>
            </w:pPr>
            <w:r w:rsidRPr="00D84652">
              <w:rPr>
                <w:lang w:val="pt-BR"/>
              </w:rPr>
              <w:t>Cada instituição selecionará os estudantes que participarão do intercâmbio. Os estudantes deverão ser aprovados pela instituição anfitriã;</w:t>
            </w:r>
          </w:p>
          <w:p w14:paraId="23C09879" w14:textId="77777777" w:rsidR="004F0741" w:rsidRPr="00D84652" w:rsidRDefault="004F0741" w:rsidP="00FC40B5">
            <w:pPr>
              <w:pStyle w:val="Ttulo4"/>
              <w:rPr>
                <w:lang w:val="pt-BR"/>
              </w:rPr>
            </w:pPr>
            <w:r w:rsidRPr="00D84652">
              <w:rPr>
                <w:lang w:val="pt-BR"/>
              </w:rPr>
              <w:t>Os estudantes deverão ter um bom domínio do idioma oficial do país sede da instituição anfitriã;</w:t>
            </w:r>
          </w:p>
          <w:p w14:paraId="2EA631ED" w14:textId="77777777" w:rsidR="004F0741" w:rsidRPr="00D84652" w:rsidRDefault="004F0741" w:rsidP="00FC40B5">
            <w:pPr>
              <w:pStyle w:val="Ttulo4"/>
              <w:rPr>
                <w:lang w:val="pt-BR"/>
              </w:rPr>
            </w:pPr>
            <w:r w:rsidRPr="00D84652">
              <w:rPr>
                <w:lang w:val="pt-BR"/>
              </w:rPr>
              <w:lastRenderedPageBreak/>
              <w:t>O período estudado será normalmente de um período letivo ou de um ano acadêmico;</w:t>
            </w:r>
          </w:p>
          <w:p w14:paraId="38D60E04" w14:textId="77777777" w:rsidR="004F0741" w:rsidRPr="00D84652" w:rsidRDefault="004F0741" w:rsidP="00FC40B5">
            <w:pPr>
              <w:pStyle w:val="Ttulo4"/>
              <w:rPr>
                <w:lang w:val="pt-BR"/>
              </w:rPr>
            </w:pPr>
            <w:r w:rsidRPr="00D84652">
              <w:rPr>
                <w:lang w:val="pt-BR"/>
              </w:rPr>
              <w:t>Os estudantes de intercâmbio não pagarão pelo aprendizado na instituição anfitriã;</w:t>
            </w:r>
          </w:p>
          <w:p w14:paraId="06E47CC8" w14:textId="77777777" w:rsidR="004F0741" w:rsidRPr="00D84652" w:rsidRDefault="004F0741" w:rsidP="00FC40B5">
            <w:pPr>
              <w:pStyle w:val="Ttulo4"/>
              <w:rPr>
                <w:lang w:val="pt-BR"/>
              </w:rPr>
            </w:pPr>
            <w:r w:rsidRPr="00D84652">
              <w:rPr>
                <w:lang w:val="pt-BR"/>
              </w:rPr>
              <w:t>Quando possível, a instituição anfitriã providenciará hospedagem para os estudantes de intercâmbio, sem, contudo, tornar-se uma obrigação.</w:t>
            </w:r>
          </w:p>
          <w:p w14:paraId="0693C985" w14:textId="77777777" w:rsidR="004F0741" w:rsidRPr="00D84652" w:rsidRDefault="004F0741" w:rsidP="00FC40B5">
            <w:pPr>
              <w:pStyle w:val="Ttulo3"/>
              <w:rPr>
                <w:lang w:val="pt-BR"/>
              </w:rPr>
            </w:pPr>
            <w:r w:rsidRPr="00D84652">
              <w:rPr>
                <w:lang w:val="pt-BR"/>
              </w:rPr>
              <w:t>Do intercâmbio de professores:</w:t>
            </w:r>
          </w:p>
          <w:p w14:paraId="6EA6A404" w14:textId="77777777" w:rsidR="004F0741" w:rsidRPr="00D84652" w:rsidRDefault="004F0741" w:rsidP="00FC40B5">
            <w:pPr>
              <w:pStyle w:val="Ttulo4"/>
              <w:rPr>
                <w:lang w:val="pt-BR"/>
              </w:rPr>
            </w:pPr>
            <w:r w:rsidRPr="00D84652">
              <w:rPr>
                <w:lang w:val="pt-BR"/>
              </w:rPr>
              <w:t>O número de professores por ano será determinado conforme as necessidades e os fundos disponíveis;</w:t>
            </w:r>
          </w:p>
          <w:p w14:paraId="09EF3035" w14:textId="77777777" w:rsidR="004F0741" w:rsidRPr="00D84652" w:rsidRDefault="004F0741" w:rsidP="00FC40B5">
            <w:pPr>
              <w:pStyle w:val="Ttulo4"/>
              <w:rPr>
                <w:lang w:val="pt-BR"/>
              </w:rPr>
            </w:pPr>
            <w:r w:rsidRPr="00D84652">
              <w:rPr>
                <w:lang w:val="pt-BR"/>
              </w:rPr>
              <w:t>O período e o número de horas desse intercâmbio para docência e pesquisa serão determinados, por mútuo acordo, entre as instituições participantes, respeitando-se os procedimentos internos de cada uma;</w:t>
            </w:r>
          </w:p>
          <w:p w14:paraId="05209F6F" w14:textId="35095DEF" w:rsidR="004F0741" w:rsidRPr="00D84652" w:rsidRDefault="004F0741" w:rsidP="00FC40B5">
            <w:pPr>
              <w:pStyle w:val="Ttulo4"/>
              <w:rPr>
                <w:lang w:val="pt-BR"/>
              </w:rPr>
            </w:pPr>
            <w:r w:rsidRPr="00D84652">
              <w:rPr>
                <w:lang w:val="pt-BR"/>
              </w:rPr>
              <w:t>O professor de intercâmbio terá assegurado o direito de utilização das instalações e serviços da instituição anfitriã, respeitando-se as normas e os procedimentos internos.</w:t>
            </w:r>
          </w:p>
        </w:tc>
        <w:tc>
          <w:tcPr>
            <w:tcW w:w="4888" w:type="dxa"/>
            <w:gridSpan w:val="3"/>
          </w:tcPr>
          <w:p w14:paraId="55895942" w14:textId="77777777" w:rsidR="00DF1B79" w:rsidRPr="00D84652" w:rsidRDefault="00DF1B79" w:rsidP="00DF1B79">
            <w:pPr>
              <w:pStyle w:val="SemEspaamento"/>
              <w:rPr>
                <w:lang w:val="fr-FR"/>
              </w:rPr>
            </w:pPr>
            <w:r w:rsidRPr="00D84652">
              <w:rPr>
                <w:b/>
                <w:lang w:val="fr-FR"/>
              </w:rPr>
              <w:lastRenderedPageBreak/>
              <w:t xml:space="preserve">CLAUSE TROISIÈME </w:t>
            </w:r>
            <w:r w:rsidRPr="00D84652">
              <w:rPr>
                <w:bCs/>
                <w:lang w:val="fr-FR"/>
              </w:rPr>
              <w:t xml:space="preserve">– </w:t>
            </w:r>
            <w:r w:rsidRPr="00D84652">
              <w:rPr>
                <w:lang w:val="fr-FR"/>
              </w:rPr>
              <w:t>L’échange sera conduit en accord avec les conditions suivantes :</w:t>
            </w:r>
          </w:p>
          <w:p w14:paraId="11321571" w14:textId="77777777" w:rsidR="00DF1B79" w:rsidRPr="00D84652" w:rsidRDefault="00DF1B79" w:rsidP="00DF1B79">
            <w:pPr>
              <w:pStyle w:val="Ttulo3"/>
              <w:numPr>
                <w:ilvl w:val="0"/>
                <w:numId w:val="25"/>
              </w:numPr>
              <w:rPr>
                <w:lang w:val="fr-FR"/>
              </w:rPr>
            </w:pPr>
            <w:r w:rsidRPr="00D84652">
              <w:rPr>
                <w:lang w:val="fr-FR"/>
              </w:rPr>
              <w:t>De l’échange d’étudiants:</w:t>
            </w:r>
          </w:p>
          <w:p w14:paraId="496D4912" w14:textId="77777777" w:rsidR="00DF1B79" w:rsidRPr="00D84652" w:rsidRDefault="00DF1B79" w:rsidP="00DF1B79">
            <w:pPr>
              <w:pStyle w:val="Ttulo4"/>
              <w:rPr>
                <w:lang w:val="fr-FR"/>
              </w:rPr>
            </w:pPr>
            <w:r w:rsidRPr="00D84652">
              <w:rPr>
                <w:lang w:val="fr-FR"/>
              </w:rPr>
              <w:t>Le nombre d’étudiants participant à l'échange est fixé d’un commun accord entre les parties contractantes;</w:t>
            </w:r>
          </w:p>
          <w:p w14:paraId="00991A26" w14:textId="77777777" w:rsidR="00DF1B79" w:rsidRPr="00D84652" w:rsidRDefault="00DF1B79" w:rsidP="00DF1B79">
            <w:pPr>
              <w:pStyle w:val="Ttulo4"/>
              <w:rPr>
                <w:lang w:val="fr-FR"/>
              </w:rPr>
            </w:pPr>
            <w:r w:rsidRPr="00D84652">
              <w:rPr>
                <w:lang w:val="fr-FR"/>
              </w:rPr>
              <w:t>Les étudiants participant à l’échange sont sélectionnés par leur université d’origine et doivent être admis par l’établissement d’accueil.</w:t>
            </w:r>
          </w:p>
          <w:p w14:paraId="0C8CD8C8" w14:textId="77777777" w:rsidR="00DF1B79" w:rsidRPr="00D84652" w:rsidRDefault="00DF1B79" w:rsidP="00DF1B79">
            <w:pPr>
              <w:pStyle w:val="Ttulo4"/>
              <w:rPr>
                <w:lang w:val="fr-FR"/>
              </w:rPr>
            </w:pPr>
            <w:r w:rsidRPr="00D84652">
              <w:rPr>
                <w:lang w:val="fr-FR"/>
              </w:rPr>
              <w:t>Les étudiants participant à l’échange doivent avoir une bonne maîtrise de la langue officielle du pays de l’université d’accueil;</w:t>
            </w:r>
          </w:p>
          <w:p w14:paraId="1265343F" w14:textId="77777777" w:rsidR="00DF1B79" w:rsidRPr="00D84652" w:rsidRDefault="00DF1B79" w:rsidP="00DF1B79">
            <w:pPr>
              <w:pStyle w:val="Ttulo4"/>
              <w:rPr>
                <w:lang w:val="fr-FR"/>
              </w:rPr>
            </w:pPr>
            <w:r w:rsidRPr="00D84652">
              <w:rPr>
                <w:lang w:val="fr-FR"/>
              </w:rPr>
              <w:lastRenderedPageBreak/>
              <w:t>Le séjour des étudiants est fixé à un ou deux semestres dans l’université d’accueil;</w:t>
            </w:r>
          </w:p>
          <w:p w14:paraId="4F920DB8" w14:textId="77777777" w:rsidR="00DF1B79" w:rsidRPr="00D84652" w:rsidRDefault="00DF1B79" w:rsidP="00DF1B79">
            <w:pPr>
              <w:pStyle w:val="Ttulo4"/>
              <w:rPr>
                <w:lang w:val="fr-FR"/>
              </w:rPr>
            </w:pPr>
            <w:r w:rsidRPr="00D84652">
              <w:rPr>
                <w:lang w:val="fr-FR"/>
              </w:rPr>
              <w:t>Les étudiants concernés par ces échanges sont exonérés des droits d’inscriptions dans l’université d’accueil.</w:t>
            </w:r>
          </w:p>
          <w:p w14:paraId="31253036" w14:textId="77777777" w:rsidR="00DF1B79" w:rsidRPr="00D84652" w:rsidRDefault="00DF1B79" w:rsidP="00DF1B79">
            <w:pPr>
              <w:pStyle w:val="Ttulo4"/>
              <w:rPr>
                <w:lang w:val="fr-FR"/>
              </w:rPr>
            </w:pPr>
            <w:r w:rsidRPr="00D84652">
              <w:rPr>
                <w:lang w:val="fr-FR"/>
              </w:rPr>
              <w:t>Dans la mesure du possible, l’institution d’accueil mettra à la disposition des étudiants en échanges un logement.</w:t>
            </w:r>
          </w:p>
          <w:p w14:paraId="7AB75A09" w14:textId="77777777" w:rsidR="00DF1B79" w:rsidRPr="00D84652" w:rsidRDefault="00DF1B79" w:rsidP="00DF1B79">
            <w:pPr>
              <w:pStyle w:val="Ttulo3"/>
              <w:rPr>
                <w:lang w:val="fr-FR"/>
              </w:rPr>
            </w:pPr>
            <w:r w:rsidRPr="00D84652">
              <w:rPr>
                <w:lang w:val="fr-FR"/>
              </w:rPr>
              <w:t>De l’ échange de professeurs:</w:t>
            </w:r>
          </w:p>
          <w:p w14:paraId="670603FA" w14:textId="77777777" w:rsidR="00DF1B79" w:rsidRPr="00D84652" w:rsidRDefault="00DF1B79" w:rsidP="00DF1B79">
            <w:pPr>
              <w:pStyle w:val="Ttulo4"/>
              <w:rPr>
                <w:lang w:val="fr-FR"/>
              </w:rPr>
            </w:pPr>
            <w:r w:rsidRPr="00D84652">
              <w:rPr>
                <w:lang w:val="fr-FR"/>
              </w:rPr>
              <w:t>Le nombre de professeurs pour chaque année sera déterminé selon les besoins et les fonds disponibles;</w:t>
            </w:r>
          </w:p>
          <w:p w14:paraId="6CD37FA2" w14:textId="77777777" w:rsidR="00DF1B79" w:rsidRPr="00D84652" w:rsidRDefault="00DF1B79" w:rsidP="00DF1B79">
            <w:pPr>
              <w:pStyle w:val="Ttulo4"/>
              <w:rPr>
                <w:lang w:val="fr-FR"/>
              </w:rPr>
            </w:pPr>
            <w:r w:rsidRPr="00D84652">
              <w:rPr>
                <w:lang w:val="fr-FR"/>
              </w:rPr>
              <w:t>La durée et le nombre d’heures d'enseignement professoral et de recherche seront déterminés par un accord mutuel entre les deux institutions, tout en respectant les règles internes de chacune;</w:t>
            </w:r>
          </w:p>
          <w:p w14:paraId="4F911DF8" w14:textId="464B2059" w:rsidR="004F0741" w:rsidRPr="00D84652" w:rsidRDefault="00DF1B79" w:rsidP="00DF1B79">
            <w:pPr>
              <w:pStyle w:val="Ttulo4"/>
              <w:rPr>
                <w:lang w:val="fr-FR"/>
              </w:rPr>
            </w:pPr>
            <w:r w:rsidRPr="00D84652">
              <w:rPr>
                <w:lang w:val="fr-FR"/>
              </w:rPr>
              <w:t>Le professeur en échange bénéficiera des mêmes droits d’utilisation des installations et services de l’institution d’accueil en respectant les normes et proc</w:t>
            </w:r>
            <w:r w:rsidR="000E2D87" w:rsidRPr="00D84652">
              <w:rPr>
                <w:lang w:val="fr-FR"/>
              </w:rPr>
              <w:t>é</w:t>
            </w:r>
            <w:r w:rsidRPr="00D84652">
              <w:rPr>
                <w:lang w:val="fr-FR"/>
              </w:rPr>
              <w:t>dures internes.</w:t>
            </w:r>
          </w:p>
        </w:tc>
      </w:tr>
      <w:tr w:rsidR="004452FB" w:rsidRPr="00334B39" w14:paraId="1DD3367D" w14:textId="77777777" w:rsidTr="2C6C8721">
        <w:tc>
          <w:tcPr>
            <w:tcW w:w="4888" w:type="dxa"/>
            <w:gridSpan w:val="2"/>
          </w:tcPr>
          <w:p w14:paraId="322E0D78" w14:textId="6903DB06" w:rsidR="004452FB" w:rsidRPr="00D84652" w:rsidRDefault="004452FB" w:rsidP="00BB4EA3">
            <w:pPr>
              <w:pStyle w:val="Ttulo1"/>
            </w:pPr>
            <w:r w:rsidRPr="00D84652">
              <w:lastRenderedPageBreak/>
              <w:t>DOS RECURSOS FINANCEIROS</w:t>
            </w:r>
          </w:p>
        </w:tc>
        <w:tc>
          <w:tcPr>
            <w:tcW w:w="4888" w:type="dxa"/>
            <w:gridSpan w:val="3"/>
          </w:tcPr>
          <w:p w14:paraId="2BC774A9" w14:textId="4CCF95E5" w:rsidR="004452FB" w:rsidRPr="00D84652" w:rsidRDefault="000E2D87" w:rsidP="00BB4EA3">
            <w:pPr>
              <w:pStyle w:val="Ttulo1"/>
              <w:rPr>
                <w:lang w:val="fr-FR"/>
              </w:rPr>
            </w:pPr>
            <w:r w:rsidRPr="00D84652">
              <w:rPr>
                <w:lang w:val="fr-FR"/>
              </w:rPr>
              <w:t>DES</w:t>
            </w:r>
            <w:r w:rsidRPr="00D84652">
              <w:rPr>
                <w:b w:val="0"/>
                <w:lang w:val="fr-FR"/>
              </w:rPr>
              <w:t xml:space="preserve"> </w:t>
            </w:r>
            <w:r w:rsidRPr="00D84652">
              <w:rPr>
                <w:lang w:val="fr-FR"/>
              </w:rPr>
              <w:t>RESSOURCES</w:t>
            </w:r>
            <w:r w:rsidRPr="00D84652">
              <w:rPr>
                <w:b w:val="0"/>
                <w:lang w:val="fr-FR"/>
              </w:rPr>
              <w:t xml:space="preserve"> </w:t>
            </w:r>
            <w:r w:rsidRPr="00D84652">
              <w:rPr>
                <w:lang w:val="fr-FR"/>
              </w:rPr>
              <w:t>FINANCIÈRES</w:t>
            </w:r>
          </w:p>
        </w:tc>
      </w:tr>
      <w:tr w:rsidR="004452FB" w:rsidRPr="00334B39" w14:paraId="25D2EBF4" w14:textId="77777777" w:rsidTr="2C6C8721">
        <w:tc>
          <w:tcPr>
            <w:tcW w:w="4888" w:type="dxa"/>
            <w:gridSpan w:val="2"/>
          </w:tcPr>
          <w:p w14:paraId="2DCCD963" w14:textId="0500F753" w:rsidR="004452FB" w:rsidRPr="00D84652" w:rsidRDefault="004452FB" w:rsidP="00BB4EA3">
            <w:pPr>
              <w:pStyle w:val="SemEspaamento"/>
              <w:rPr>
                <w:b/>
              </w:rPr>
            </w:pPr>
            <w:r w:rsidRPr="00D84652">
              <w:rPr>
                <w:b/>
              </w:rPr>
              <w:t>CLÁUSULA QUARTA</w:t>
            </w:r>
            <w:r w:rsidR="00661A73" w:rsidRPr="00D84652">
              <w:rPr>
                <w:bCs/>
              </w:rPr>
              <w:t xml:space="preserve"> – </w:t>
            </w:r>
            <w:r w:rsidRPr="00D84652">
              <w:t>As partes poderão compartilhar os custos inerentes às diversas atividades, segundo a sua regulamentação interna e entendimentos prévios e específicos para cada caso. Não haverá transferência de recursos financeiros entre as partes.</w:t>
            </w:r>
          </w:p>
        </w:tc>
        <w:tc>
          <w:tcPr>
            <w:tcW w:w="4888" w:type="dxa"/>
            <w:gridSpan w:val="3"/>
          </w:tcPr>
          <w:p w14:paraId="26BC6DF4" w14:textId="3187FCB7" w:rsidR="004452FB" w:rsidRPr="00D84652" w:rsidRDefault="000E2D87" w:rsidP="000E2D87">
            <w:pPr>
              <w:pStyle w:val="SemEspaamento"/>
              <w:rPr>
                <w:lang w:val="fr-FR"/>
              </w:rPr>
            </w:pPr>
            <w:r w:rsidRPr="00D84652">
              <w:rPr>
                <w:b/>
                <w:lang w:val="fr-FR"/>
              </w:rPr>
              <w:t xml:space="preserve">CLAUSE QUATRIEME </w:t>
            </w:r>
            <w:r w:rsidRPr="00D84652">
              <w:rPr>
                <w:bCs/>
                <w:lang w:val="fr-FR"/>
              </w:rPr>
              <w:t xml:space="preserve">– </w:t>
            </w:r>
            <w:r w:rsidRPr="00D84652">
              <w:rPr>
                <w:lang w:val="fr-FR"/>
              </w:rPr>
              <w:t>Les parties convenantes partageront les frais inhérents à diverses activités, selon le règlement intérieur et selon les entendements préalables et spécifiques pour chaque cas. Il n’y aura pas de transfert de ressources financières entre les parties.</w:t>
            </w:r>
          </w:p>
        </w:tc>
      </w:tr>
      <w:tr w:rsidR="004452FB" w:rsidRPr="00B43500" w14:paraId="1A7D1121" w14:textId="77777777" w:rsidTr="2C6C8721">
        <w:tc>
          <w:tcPr>
            <w:tcW w:w="4888" w:type="dxa"/>
            <w:gridSpan w:val="2"/>
          </w:tcPr>
          <w:p w14:paraId="6C65DCA9" w14:textId="6564F4B0" w:rsidR="004452FB" w:rsidRPr="00D84652" w:rsidRDefault="004452FB" w:rsidP="00BB4EA3">
            <w:pPr>
              <w:pStyle w:val="Ttulo1"/>
            </w:pPr>
            <w:r w:rsidRPr="00D84652">
              <w:t>DA VIGÊNCIA E RESCISÃO</w:t>
            </w:r>
          </w:p>
        </w:tc>
        <w:tc>
          <w:tcPr>
            <w:tcW w:w="4888" w:type="dxa"/>
            <w:gridSpan w:val="3"/>
          </w:tcPr>
          <w:p w14:paraId="1ACF36FC" w14:textId="4BA5664C" w:rsidR="004452FB" w:rsidRPr="00D84652" w:rsidRDefault="000E2D87" w:rsidP="00BB4EA3">
            <w:pPr>
              <w:pStyle w:val="Ttulo1"/>
              <w:rPr>
                <w:lang w:val="fr-FR"/>
              </w:rPr>
            </w:pPr>
            <w:r w:rsidRPr="00D84652">
              <w:rPr>
                <w:lang w:val="fr-FR"/>
              </w:rPr>
              <w:t>DE</w:t>
            </w:r>
            <w:r w:rsidRPr="00D84652">
              <w:rPr>
                <w:b w:val="0"/>
                <w:lang w:val="fr-FR"/>
              </w:rPr>
              <w:t xml:space="preserve"> </w:t>
            </w:r>
            <w:r w:rsidRPr="00D84652">
              <w:rPr>
                <w:lang w:val="fr-FR"/>
              </w:rPr>
              <w:t>LA</w:t>
            </w:r>
            <w:r w:rsidRPr="00D84652">
              <w:rPr>
                <w:b w:val="0"/>
                <w:lang w:val="fr-FR"/>
              </w:rPr>
              <w:t xml:space="preserve"> </w:t>
            </w:r>
            <w:r w:rsidRPr="00D84652">
              <w:rPr>
                <w:lang w:val="fr-FR"/>
              </w:rPr>
              <w:t>DURÉE</w:t>
            </w:r>
            <w:r w:rsidRPr="00D84652">
              <w:rPr>
                <w:b w:val="0"/>
                <w:lang w:val="fr-FR"/>
              </w:rPr>
              <w:t xml:space="preserve"> </w:t>
            </w:r>
            <w:r w:rsidRPr="00D84652">
              <w:rPr>
                <w:lang w:val="fr-FR"/>
              </w:rPr>
              <w:t>ET</w:t>
            </w:r>
            <w:r w:rsidRPr="00D84652">
              <w:rPr>
                <w:b w:val="0"/>
                <w:lang w:val="fr-FR"/>
              </w:rPr>
              <w:t xml:space="preserve"> </w:t>
            </w:r>
            <w:r w:rsidRPr="00D84652">
              <w:rPr>
                <w:lang w:val="fr-FR"/>
              </w:rPr>
              <w:t>DE</w:t>
            </w:r>
            <w:r w:rsidRPr="00D84652">
              <w:rPr>
                <w:b w:val="0"/>
                <w:lang w:val="fr-FR"/>
              </w:rPr>
              <w:t xml:space="preserve"> </w:t>
            </w:r>
            <w:r w:rsidRPr="00D84652">
              <w:rPr>
                <w:lang w:val="fr-FR"/>
              </w:rPr>
              <w:t>LA</w:t>
            </w:r>
            <w:r w:rsidRPr="00D84652">
              <w:rPr>
                <w:b w:val="0"/>
                <w:lang w:val="fr-FR"/>
              </w:rPr>
              <w:t xml:space="preserve"> </w:t>
            </w:r>
            <w:r w:rsidRPr="00D84652">
              <w:rPr>
                <w:lang w:val="fr-FR"/>
              </w:rPr>
              <w:t>RÉSILIATION</w:t>
            </w:r>
          </w:p>
        </w:tc>
      </w:tr>
      <w:tr w:rsidR="004452FB" w:rsidRPr="00B43500" w14:paraId="3105CDDD" w14:textId="77777777" w:rsidTr="2C6C8721">
        <w:tc>
          <w:tcPr>
            <w:tcW w:w="4888" w:type="dxa"/>
            <w:gridSpan w:val="2"/>
          </w:tcPr>
          <w:p w14:paraId="0EE151C7" w14:textId="1920147C" w:rsidR="004452FB" w:rsidRPr="00D84652" w:rsidRDefault="004452FB" w:rsidP="00BB4EA3">
            <w:pPr>
              <w:pStyle w:val="SemEspaamento"/>
            </w:pPr>
            <w:r w:rsidRPr="00D84652">
              <w:rPr>
                <w:b/>
              </w:rPr>
              <w:t>CLÁUSULA QUINTA</w:t>
            </w:r>
            <w:r w:rsidR="00661A73" w:rsidRPr="00D84652">
              <w:rPr>
                <w:bCs/>
              </w:rPr>
              <w:t xml:space="preserve"> – </w:t>
            </w:r>
            <w:r w:rsidRPr="00D84652">
              <w:t>O presente Memorando vigorará por 5 (cinco) anos a partir da data de sua assinatura, podendo ser rescindido, por qualquer das partes, mediante notificação, por escrito, com antecedência mínima de 60 (sessenta) dias.</w:t>
            </w:r>
          </w:p>
          <w:p w14:paraId="4F6E3E3B" w14:textId="750AE67A" w:rsidR="004452FB" w:rsidRPr="00D84652" w:rsidRDefault="004452FB" w:rsidP="00BB4EA3">
            <w:pPr>
              <w:pStyle w:val="SemEspaamento"/>
              <w:rPr>
                <w:b/>
              </w:rPr>
            </w:pPr>
            <w:r w:rsidRPr="00D84652">
              <w:t>O presente Memorando pode ser renovado por até 2 (dois) períodos de igual duração por meio de uma notificação por escrito de uma das partes e uma aceitação escrita pela outra.</w:t>
            </w:r>
          </w:p>
        </w:tc>
        <w:tc>
          <w:tcPr>
            <w:tcW w:w="4888" w:type="dxa"/>
            <w:gridSpan w:val="3"/>
          </w:tcPr>
          <w:p w14:paraId="1BF2F0F4" w14:textId="21293AF5" w:rsidR="000E2D87" w:rsidRPr="00D84652" w:rsidRDefault="000E2D87" w:rsidP="000E2D87">
            <w:pPr>
              <w:pStyle w:val="SemEspaamento"/>
              <w:rPr>
                <w:lang w:val="fr-FR"/>
              </w:rPr>
            </w:pPr>
            <w:r w:rsidRPr="00D84652">
              <w:rPr>
                <w:b/>
                <w:lang w:val="fr-FR"/>
              </w:rPr>
              <w:t xml:space="preserve">CLAUSE CINQUIÈME </w:t>
            </w:r>
            <w:r w:rsidRPr="00D84652">
              <w:rPr>
                <w:bCs/>
                <w:lang w:val="fr-FR"/>
              </w:rPr>
              <w:t>– Le présent Mémorandum sera en vigueur pendant 5 (cinq) ans à compter de la date de sa signature et pourra être résilié par l'une ou l'autre des parties sur préavis écrit au moins 60 (soixante) jours à l'avance</w:t>
            </w:r>
            <w:r w:rsidRPr="00D84652">
              <w:rPr>
                <w:lang w:val="fr-FR"/>
              </w:rPr>
              <w:t>.</w:t>
            </w:r>
          </w:p>
          <w:p w14:paraId="53564E47" w14:textId="050B0816" w:rsidR="004452FB" w:rsidRPr="00D84652" w:rsidRDefault="000E2D87" w:rsidP="000E2D87">
            <w:pPr>
              <w:pStyle w:val="SemEspaamento"/>
              <w:rPr>
                <w:bCs/>
                <w:lang w:val="fr-FR"/>
              </w:rPr>
            </w:pPr>
            <w:r w:rsidRPr="00D84652">
              <w:rPr>
                <w:lang w:val="fr-FR"/>
              </w:rPr>
              <w:t>Le présent Mémorandum peut être renouvelé pour 2 (deux) périodes d'égale durée par une lettre de l'une des parties et par une acceptation écrite de l'autre.</w:t>
            </w:r>
          </w:p>
        </w:tc>
      </w:tr>
      <w:tr w:rsidR="004452FB" w:rsidRPr="00334B39" w14:paraId="4F7462E4" w14:textId="77777777" w:rsidTr="2C6C8721">
        <w:tc>
          <w:tcPr>
            <w:tcW w:w="4888" w:type="dxa"/>
            <w:gridSpan w:val="2"/>
          </w:tcPr>
          <w:p w14:paraId="66949FCB" w14:textId="0D38261F" w:rsidR="004452FB" w:rsidRPr="00D84652" w:rsidRDefault="004452FB" w:rsidP="00BB4EA3">
            <w:pPr>
              <w:pStyle w:val="Ttulo1"/>
            </w:pPr>
            <w:r w:rsidRPr="00D84652">
              <w:lastRenderedPageBreak/>
              <w:t>DA PUBLIC</w:t>
            </w:r>
            <w:r w:rsidR="008B0AFA" w:rsidRPr="00D84652">
              <w:t>IDADE</w:t>
            </w:r>
          </w:p>
        </w:tc>
        <w:tc>
          <w:tcPr>
            <w:tcW w:w="4888" w:type="dxa"/>
            <w:gridSpan w:val="3"/>
          </w:tcPr>
          <w:p w14:paraId="6EC32521" w14:textId="735C6751" w:rsidR="004452FB" w:rsidRPr="00D84652" w:rsidRDefault="000E2D87" w:rsidP="00BB4EA3">
            <w:pPr>
              <w:pStyle w:val="Ttulo1"/>
              <w:rPr>
                <w:lang w:val="fr-FR"/>
              </w:rPr>
            </w:pPr>
            <w:r w:rsidRPr="00D84652">
              <w:rPr>
                <w:color w:val="000000"/>
                <w:lang w:val="fr-FR"/>
              </w:rPr>
              <w:t>DE LA PUBLICITÉ</w:t>
            </w:r>
          </w:p>
        </w:tc>
      </w:tr>
      <w:tr w:rsidR="004452FB" w:rsidRPr="00334B39" w14:paraId="2C0D6852" w14:textId="77777777" w:rsidTr="2C6C8721">
        <w:tc>
          <w:tcPr>
            <w:tcW w:w="4888" w:type="dxa"/>
            <w:gridSpan w:val="2"/>
          </w:tcPr>
          <w:p w14:paraId="1DDDAA12" w14:textId="1C04D09F" w:rsidR="004452FB" w:rsidRPr="00D84652" w:rsidRDefault="004452FB" w:rsidP="00BB4EA3">
            <w:pPr>
              <w:pStyle w:val="SemEspaamento"/>
            </w:pPr>
            <w:r w:rsidRPr="2C6C8721">
              <w:rPr>
                <w:b/>
                <w:bCs/>
              </w:rPr>
              <w:t>CLÁUSULA SEXTA</w:t>
            </w:r>
            <w:r w:rsidR="00661A73">
              <w:t xml:space="preserve"> – </w:t>
            </w:r>
            <w:r w:rsidR="008B0AFA">
              <w:t>A Universidade de Brasília compromete-se a efetuar a publicação do presente Acordo, no prazo de 20 (vinte) dias a partir da data de sua assinatura.</w:t>
            </w:r>
          </w:p>
        </w:tc>
        <w:tc>
          <w:tcPr>
            <w:tcW w:w="4888" w:type="dxa"/>
            <w:gridSpan w:val="3"/>
          </w:tcPr>
          <w:p w14:paraId="5BD240D1" w14:textId="0618E496" w:rsidR="004452FB" w:rsidRPr="00D84652" w:rsidRDefault="000E2D87" w:rsidP="2C6C8721">
            <w:pPr>
              <w:pStyle w:val="SemEspaamento"/>
              <w:rPr>
                <w:lang w:val="fr-FR"/>
              </w:rPr>
            </w:pPr>
            <w:r w:rsidRPr="2C6C8721">
              <w:rPr>
                <w:b/>
                <w:bCs/>
                <w:lang w:val="fr-FR"/>
              </w:rPr>
              <w:t xml:space="preserve">CLAUSE SIXIÈME </w:t>
            </w:r>
            <w:r w:rsidRPr="2C6C8721">
              <w:rPr>
                <w:lang w:val="fr-FR"/>
              </w:rPr>
              <w:t>–</w:t>
            </w:r>
            <w:r w:rsidRPr="2C6C8721">
              <w:rPr>
                <w:b/>
                <w:bCs/>
                <w:lang w:val="fr-FR"/>
              </w:rPr>
              <w:t xml:space="preserve"> </w:t>
            </w:r>
            <w:r w:rsidRPr="2C6C8721">
              <w:rPr>
                <w:lang w:val="fr-FR"/>
              </w:rPr>
              <w:t>L'</w:t>
            </w:r>
            <w:r w:rsidRPr="2C6C8721">
              <w:rPr>
                <w:i/>
                <w:iCs/>
                <w:lang w:val="fr-FR"/>
              </w:rPr>
              <w:t>Universidade de Brasília</w:t>
            </w:r>
            <w:r w:rsidRPr="2C6C8721">
              <w:rPr>
                <w:lang w:val="fr-FR"/>
              </w:rPr>
              <w:t xml:space="preserve"> s'engage à publiciser le présent Accord dans un délai de 20 (vingt) jours à compter de sa date de signature.</w:t>
            </w:r>
          </w:p>
        </w:tc>
      </w:tr>
      <w:tr w:rsidR="004452FB" w:rsidRPr="00334B39" w14:paraId="40A85BA7" w14:textId="77777777" w:rsidTr="2C6C8721">
        <w:tc>
          <w:tcPr>
            <w:tcW w:w="4888" w:type="dxa"/>
            <w:gridSpan w:val="2"/>
          </w:tcPr>
          <w:p w14:paraId="0BD52DD1" w14:textId="34C11423" w:rsidR="004452FB" w:rsidRPr="00D84652" w:rsidRDefault="004452FB" w:rsidP="00BB4EA3">
            <w:pPr>
              <w:pStyle w:val="Ttulo1"/>
            </w:pPr>
            <w:r w:rsidRPr="00D84652">
              <w:t>DO FORO</w:t>
            </w:r>
          </w:p>
        </w:tc>
        <w:tc>
          <w:tcPr>
            <w:tcW w:w="4888" w:type="dxa"/>
            <w:gridSpan w:val="3"/>
          </w:tcPr>
          <w:p w14:paraId="0C4B527E" w14:textId="51DCE277" w:rsidR="004452FB" w:rsidRPr="00D84652" w:rsidRDefault="000E2D87" w:rsidP="00BB4EA3">
            <w:pPr>
              <w:pStyle w:val="Ttulo1"/>
              <w:rPr>
                <w:lang w:val="fr-FR"/>
              </w:rPr>
            </w:pPr>
            <w:r w:rsidRPr="00D84652">
              <w:rPr>
                <w:lang w:val="fr-FR"/>
              </w:rPr>
              <w:t>DU</w:t>
            </w:r>
            <w:r w:rsidRPr="00D84652">
              <w:rPr>
                <w:b w:val="0"/>
                <w:lang w:val="fr-FR"/>
              </w:rPr>
              <w:t xml:space="preserve"> </w:t>
            </w:r>
            <w:r w:rsidRPr="00D84652">
              <w:rPr>
                <w:lang w:val="fr-FR"/>
              </w:rPr>
              <w:t>FORUM</w:t>
            </w:r>
          </w:p>
        </w:tc>
      </w:tr>
      <w:tr w:rsidR="004452FB" w:rsidRPr="00334B39" w14:paraId="7581BC31" w14:textId="77777777" w:rsidTr="2C6C8721">
        <w:tc>
          <w:tcPr>
            <w:tcW w:w="4888" w:type="dxa"/>
            <w:gridSpan w:val="2"/>
          </w:tcPr>
          <w:p w14:paraId="43AA73C2" w14:textId="5EE98D63" w:rsidR="004452FB" w:rsidRPr="00D84652" w:rsidRDefault="004452FB" w:rsidP="00BB4EA3">
            <w:pPr>
              <w:pStyle w:val="SemEspaamento"/>
            </w:pPr>
            <w:r w:rsidRPr="2C6C8721">
              <w:rPr>
                <w:b/>
                <w:bCs/>
              </w:rPr>
              <w:t>CLÁUSULA SÉTIMA</w:t>
            </w:r>
            <w:r w:rsidR="00661A73">
              <w:t xml:space="preserve"> – </w:t>
            </w:r>
            <w:r w:rsidR="00A16915">
              <w:t>Quaisquer litígios decorrentes e relacionados com este MdE serão resolvidos por ambas as partes através de negociações amigáveis.</w:t>
            </w:r>
          </w:p>
        </w:tc>
        <w:tc>
          <w:tcPr>
            <w:tcW w:w="4888" w:type="dxa"/>
            <w:gridSpan w:val="3"/>
          </w:tcPr>
          <w:p w14:paraId="7D27A8C0" w14:textId="16AB88A3" w:rsidR="004452FB" w:rsidRPr="00D84652" w:rsidRDefault="00D84652" w:rsidP="00BB4EA3">
            <w:pPr>
              <w:pStyle w:val="SemEspaamento"/>
              <w:rPr>
                <w:lang w:val="fr-FR"/>
              </w:rPr>
            </w:pPr>
            <w:r w:rsidRPr="2C6C8721">
              <w:rPr>
                <w:b/>
                <w:bCs/>
                <w:lang w:val="fr-FR"/>
              </w:rPr>
              <w:t xml:space="preserve">CLAUSE SEPTIÈME </w:t>
            </w:r>
            <w:r w:rsidR="00BB4EA3" w:rsidRPr="2C6C8721">
              <w:rPr>
                <w:lang w:val="fr-FR"/>
              </w:rPr>
              <w:t xml:space="preserve">– </w:t>
            </w:r>
            <w:r w:rsidRPr="2C6C8721">
              <w:rPr>
                <w:lang w:val="fr-FR"/>
              </w:rPr>
              <w:t>Tous les différends découlant de et liés à ce protocole d'accord seront résolus par les deux parties par le biais de négociations amicales.</w:t>
            </w:r>
          </w:p>
        </w:tc>
      </w:tr>
      <w:tr w:rsidR="004452FB" w:rsidRPr="00334B39" w14:paraId="22921D57" w14:textId="77777777" w:rsidTr="2C6C8721">
        <w:tc>
          <w:tcPr>
            <w:tcW w:w="4888" w:type="dxa"/>
            <w:gridSpan w:val="2"/>
          </w:tcPr>
          <w:p w14:paraId="4AC1196A" w14:textId="1C51C062" w:rsidR="004452FB" w:rsidRPr="00D84652" w:rsidRDefault="004452FB" w:rsidP="2C6C8721">
            <w:pPr>
              <w:pStyle w:val="SemEspaamento"/>
              <w:rPr>
                <w:b/>
                <w:bCs/>
              </w:rPr>
            </w:pPr>
            <w:r>
              <w:t xml:space="preserve">E, por estarem pactuadas, assinam as partes o presente </w:t>
            </w:r>
            <w:r w:rsidR="008E335F">
              <w:t>MdE</w:t>
            </w:r>
            <w:r>
              <w:t xml:space="preserve"> em </w:t>
            </w:r>
            <w:r w:rsidRPr="2C6C8721">
              <w:rPr>
                <w:highlight w:val="yellow"/>
              </w:rPr>
              <w:t>2 (duas)</w:t>
            </w:r>
            <w:r>
              <w:t xml:space="preserve"> vias de igual</w:t>
            </w:r>
            <w:r w:rsidR="008E335F">
              <w:t xml:space="preserve"> teor</w:t>
            </w:r>
            <w:r w:rsidR="000020E8">
              <w:t>.</w:t>
            </w:r>
          </w:p>
        </w:tc>
        <w:tc>
          <w:tcPr>
            <w:tcW w:w="4888" w:type="dxa"/>
            <w:gridSpan w:val="3"/>
          </w:tcPr>
          <w:p w14:paraId="6CF8DF0E" w14:textId="32E15C8E" w:rsidR="004452FB" w:rsidRPr="00D84652" w:rsidRDefault="00D84652" w:rsidP="00D84652">
            <w:pPr>
              <w:pStyle w:val="SemEspaamento"/>
              <w:rPr>
                <w:lang w:val="fr-FR"/>
              </w:rPr>
            </w:pPr>
            <w:r w:rsidRPr="2C6C8721">
              <w:rPr>
                <w:lang w:val="fr-FR"/>
              </w:rPr>
              <w:t xml:space="preserve">Et, comme elles en ont convenu, les parties signent ce MoU en </w:t>
            </w:r>
            <w:r w:rsidRPr="2C6C8721">
              <w:rPr>
                <w:highlight w:val="yellow"/>
                <w:lang w:val="fr-FR"/>
              </w:rPr>
              <w:t>2 (deux)</w:t>
            </w:r>
            <w:r w:rsidRPr="2C6C8721">
              <w:rPr>
                <w:lang w:val="fr-FR"/>
              </w:rPr>
              <w:t xml:space="preserve"> exemplaires de contenu égal.</w:t>
            </w:r>
          </w:p>
        </w:tc>
      </w:tr>
      <w:tr w:rsidR="000020E8" w:rsidRPr="00334B39" w14:paraId="0D1056A8" w14:textId="77777777" w:rsidTr="2C6C8721">
        <w:tc>
          <w:tcPr>
            <w:tcW w:w="4888" w:type="dxa"/>
            <w:gridSpan w:val="2"/>
          </w:tcPr>
          <w:p w14:paraId="3934286D" w14:textId="77777777" w:rsidR="000020E8" w:rsidRPr="00D84652" w:rsidRDefault="000020E8" w:rsidP="00BB4EA3">
            <w:pPr>
              <w:pStyle w:val="SemEspaamento"/>
            </w:pPr>
          </w:p>
        </w:tc>
        <w:tc>
          <w:tcPr>
            <w:tcW w:w="4888" w:type="dxa"/>
            <w:gridSpan w:val="3"/>
          </w:tcPr>
          <w:p w14:paraId="20FFB6B1" w14:textId="77777777" w:rsidR="000020E8" w:rsidRPr="00D84652" w:rsidRDefault="000020E8" w:rsidP="00173ADA">
            <w:pPr>
              <w:jc w:val="center"/>
              <w:rPr>
                <w:rFonts w:ascii="Arial" w:eastAsia="Arial" w:hAnsi="Arial" w:cs="Arial"/>
                <w:bCs/>
                <w:sz w:val="22"/>
                <w:szCs w:val="22"/>
                <w:lang w:val="fr-FR"/>
              </w:rPr>
            </w:pPr>
          </w:p>
        </w:tc>
      </w:tr>
      <w:tr w:rsidR="000020E8" w:rsidRPr="00D84652" w14:paraId="53F587C1" w14:textId="77777777" w:rsidTr="2C6C8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4593" w:type="dxa"/>
            <w:tcBorders>
              <w:top w:val="nil"/>
              <w:left w:val="nil"/>
              <w:bottom w:val="nil"/>
              <w:right w:val="nil"/>
            </w:tcBorders>
          </w:tcPr>
          <w:p w14:paraId="7EF06AA0" w14:textId="0959824F" w:rsidR="000020E8" w:rsidRPr="00D84652" w:rsidRDefault="000020E8" w:rsidP="008E335F">
            <w:pPr>
              <w:keepNext/>
              <w:jc w:val="center"/>
              <w:rPr>
                <w:rFonts w:ascii="Arial" w:eastAsia="Arial" w:hAnsi="Arial" w:cs="Arial"/>
                <w:sz w:val="22"/>
                <w:szCs w:val="22"/>
              </w:rPr>
            </w:pPr>
            <w:r w:rsidRPr="00D84652">
              <w:rPr>
                <w:rFonts w:ascii="Arial" w:eastAsia="Arial" w:hAnsi="Arial" w:cs="Arial"/>
                <w:sz w:val="22"/>
                <w:szCs w:val="22"/>
              </w:rPr>
              <w:t>Brasília,</w:t>
            </w:r>
          </w:p>
        </w:tc>
        <w:tc>
          <w:tcPr>
            <w:tcW w:w="567" w:type="dxa"/>
            <w:gridSpan w:val="2"/>
            <w:tcBorders>
              <w:top w:val="nil"/>
              <w:left w:val="nil"/>
              <w:bottom w:val="nil"/>
              <w:right w:val="nil"/>
            </w:tcBorders>
          </w:tcPr>
          <w:p w14:paraId="683770A3" w14:textId="77777777" w:rsidR="000020E8" w:rsidRPr="00D84652" w:rsidRDefault="000020E8" w:rsidP="008E335F">
            <w:pPr>
              <w:keepNext/>
              <w:jc w:val="center"/>
              <w:rPr>
                <w:rFonts w:ascii="Arial" w:eastAsia="Arial" w:hAnsi="Arial" w:cs="Arial"/>
                <w:sz w:val="22"/>
                <w:szCs w:val="22"/>
              </w:rPr>
            </w:pPr>
          </w:p>
        </w:tc>
        <w:tc>
          <w:tcPr>
            <w:tcW w:w="4593" w:type="dxa"/>
            <w:tcBorders>
              <w:top w:val="nil"/>
              <w:left w:val="nil"/>
              <w:bottom w:val="nil"/>
              <w:right w:val="nil"/>
            </w:tcBorders>
          </w:tcPr>
          <w:p w14:paraId="31E90870" w14:textId="5DDA8EDB" w:rsidR="000020E8" w:rsidRPr="00D84652" w:rsidRDefault="00D84652" w:rsidP="008E335F">
            <w:pPr>
              <w:keepNext/>
              <w:jc w:val="center"/>
              <w:rPr>
                <w:rFonts w:ascii="Arial" w:eastAsia="Arial" w:hAnsi="Arial" w:cs="Arial"/>
                <w:sz w:val="22"/>
                <w:szCs w:val="22"/>
                <w:lang w:val="fr-FR"/>
              </w:rPr>
            </w:pPr>
            <w:r w:rsidRPr="00D84652">
              <w:rPr>
                <w:rFonts w:ascii="Arial" w:eastAsia="Arial" w:hAnsi="Arial" w:cs="Arial"/>
                <w:sz w:val="22"/>
                <w:szCs w:val="22"/>
                <w:highlight w:val="yellow"/>
                <w:lang w:val="fr-FR"/>
              </w:rPr>
              <w:t>Ville</w:t>
            </w:r>
            <w:r w:rsidR="000020E8" w:rsidRPr="00D84652">
              <w:rPr>
                <w:rFonts w:ascii="Arial" w:eastAsia="Arial" w:hAnsi="Arial" w:cs="Arial"/>
                <w:sz w:val="22"/>
                <w:szCs w:val="22"/>
                <w:highlight w:val="yellow"/>
                <w:lang w:val="fr-FR"/>
              </w:rPr>
              <w:t>,</w:t>
            </w:r>
          </w:p>
        </w:tc>
      </w:tr>
      <w:tr w:rsidR="000020E8" w:rsidRPr="00D84652" w14:paraId="73C5FBC2" w14:textId="77777777" w:rsidTr="2C6C8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767"/>
        </w:trPr>
        <w:tc>
          <w:tcPr>
            <w:tcW w:w="4593" w:type="dxa"/>
            <w:tcBorders>
              <w:top w:val="nil"/>
              <w:left w:val="nil"/>
              <w:bottom w:val="single" w:sz="4" w:space="0" w:color="auto"/>
              <w:right w:val="nil"/>
            </w:tcBorders>
          </w:tcPr>
          <w:p w14:paraId="74558A67" w14:textId="77777777" w:rsidR="000020E8" w:rsidRPr="00D84652" w:rsidRDefault="000020E8" w:rsidP="000020E8">
            <w:pPr>
              <w:keepNext/>
              <w:jc w:val="both"/>
              <w:rPr>
                <w:rFonts w:ascii="Arial" w:eastAsia="Arial" w:hAnsi="Arial" w:cs="Arial"/>
                <w:sz w:val="22"/>
                <w:szCs w:val="22"/>
              </w:rPr>
            </w:pPr>
          </w:p>
        </w:tc>
        <w:tc>
          <w:tcPr>
            <w:tcW w:w="567" w:type="dxa"/>
            <w:gridSpan w:val="2"/>
            <w:tcBorders>
              <w:top w:val="nil"/>
              <w:left w:val="nil"/>
              <w:bottom w:val="nil"/>
              <w:right w:val="nil"/>
            </w:tcBorders>
          </w:tcPr>
          <w:p w14:paraId="10AB7CF1" w14:textId="77777777" w:rsidR="000020E8" w:rsidRPr="00D84652" w:rsidRDefault="000020E8" w:rsidP="000020E8">
            <w:pPr>
              <w:keepNext/>
              <w:jc w:val="both"/>
              <w:rPr>
                <w:rFonts w:ascii="Arial" w:eastAsia="Arial" w:hAnsi="Arial" w:cs="Arial"/>
                <w:sz w:val="22"/>
                <w:szCs w:val="22"/>
              </w:rPr>
            </w:pPr>
          </w:p>
        </w:tc>
        <w:tc>
          <w:tcPr>
            <w:tcW w:w="4593" w:type="dxa"/>
            <w:tcBorders>
              <w:top w:val="nil"/>
              <w:left w:val="nil"/>
              <w:bottom w:val="single" w:sz="4" w:space="0" w:color="auto"/>
              <w:right w:val="nil"/>
            </w:tcBorders>
          </w:tcPr>
          <w:p w14:paraId="1DE4F634" w14:textId="77777777" w:rsidR="000020E8" w:rsidRPr="00D84652" w:rsidRDefault="000020E8" w:rsidP="000020E8">
            <w:pPr>
              <w:keepNext/>
              <w:jc w:val="both"/>
              <w:rPr>
                <w:rFonts w:ascii="Arial" w:eastAsia="Arial" w:hAnsi="Arial" w:cs="Arial"/>
                <w:sz w:val="22"/>
                <w:szCs w:val="22"/>
                <w:highlight w:val="yellow"/>
                <w:lang w:val="fr-FR"/>
              </w:rPr>
            </w:pPr>
          </w:p>
        </w:tc>
      </w:tr>
      <w:tr w:rsidR="000020E8" w:rsidRPr="00D84652" w14:paraId="4F492D7C" w14:textId="77777777" w:rsidTr="2C6C8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986"/>
        </w:trPr>
        <w:tc>
          <w:tcPr>
            <w:tcW w:w="4593" w:type="dxa"/>
            <w:tcBorders>
              <w:top w:val="single" w:sz="4" w:space="0" w:color="auto"/>
              <w:left w:val="nil"/>
              <w:bottom w:val="nil"/>
              <w:right w:val="nil"/>
            </w:tcBorders>
          </w:tcPr>
          <w:p w14:paraId="6248372A" w14:textId="3FA06E74" w:rsidR="000020E8" w:rsidRPr="00D84652" w:rsidRDefault="00B43500" w:rsidP="000020E8">
            <w:pPr>
              <w:keepNext/>
              <w:jc w:val="center"/>
              <w:rPr>
                <w:rFonts w:ascii="Arial" w:eastAsia="Arial" w:hAnsi="Arial" w:cs="Arial"/>
                <w:sz w:val="22"/>
                <w:szCs w:val="22"/>
              </w:rPr>
            </w:pPr>
            <w:r>
              <w:rPr>
                <w:rFonts w:ascii="Arial" w:eastAsia="Arial" w:hAnsi="Arial" w:cs="Arial"/>
                <w:sz w:val="22"/>
                <w:szCs w:val="22"/>
              </w:rPr>
              <w:t>Gladston Luiz da Silva</w:t>
            </w:r>
          </w:p>
          <w:p w14:paraId="0779318F" w14:textId="77777777" w:rsidR="000020E8" w:rsidRPr="00D84652" w:rsidRDefault="000020E8" w:rsidP="000020E8">
            <w:pPr>
              <w:keepNext/>
              <w:ind w:right="-360"/>
              <w:jc w:val="center"/>
              <w:rPr>
                <w:rFonts w:ascii="Arial" w:eastAsia="Arial" w:hAnsi="Arial" w:cs="Arial"/>
                <w:sz w:val="22"/>
                <w:szCs w:val="22"/>
              </w:rPr>
            </w:pPr>
            <w:r w:rsidRPr="00D84652">
              <w:rPr>
                <w:rFonts w:ascii="Arial" w:eastAsia="Arial" w:hAnsi="Arial" w:cs="Arial"/>
                <w:sz w:val="22"/>
                <w:szCs w:val="22"/>
              </w:rPr>
              <w:t>Secretário de Assuntos Internacionais</w:t>
            </w:r>
          </w:p>
          <w:p w14:paraId="3F67B19A" w14:textId="4F6EF29F" w:rsidR="000020E8" w:rsidRPr="00D84652" w:rsidRDefault="000020E8" w:rsidP="000020E8">
            <w:pPr>
              <w:keepNext/>
              <w:jc w:val="center"/>
              <w:rPr>
                <w:rFonts w:ascii="Arial" w:eastAsia="Arial" w:hAnsi="Arial" w:cs="Arial"/>
                <w:sz w:val="22"/>
                <w:szCs w:val="22"/>
              </w:rPr>
            </w:pPr>
            <w:r w:rsidRPr="00D84652">
              <w:rPr>
                <w:rFonts w:ascii="Arial" w:eastAsia="Arial" w:hAnsi="Arial" w:cs="Arial"/>
                <w:sz w:val="22"/>
                <w:szCs w:val="22"/>
              </w:rPr>
              <w:t>Universidade de Brasília</w:t>
            </w:r>
          </w:p>
        </w:tc>
        <w:tc>
          <w:tcPr>
            <w:tcW w:w="567" w:type="dxa"/>
            <w:gridSpan w:val="2"/>
            <w:tcBorders>
              <w:top w:val="nil"/>
              <w:left w:val="nil"/>
              <w:bottom w:val="nil"/>
              <w:right w:val="nil"/>
            </w:tcBorders>
          </w:tcPr>
          <w:p w14:paraId="081536D1" w14:textId="77777777" w:rsidR="000020E8" w:rsidRPr="00D84652" w:rsidRDefault="000020E8" w:rsidP="000020E8">
            <w:pPr>
              <w:keepNext/>
              <w:jc w:val="both"/>
              <w:rPr>
                <w:rFonts w:ascii="Arial" w:eastAsia="Arial" w:hAnsi="Arial" w:cs="Arial"/>
                <w:sz w:val="22"/>
                <w:szCs w:val="22"/>
              </w:rPr>
            </w:pPr>
          </w:p>
        </w:tc>
        <w:tc>
          <w:tcPr>
            <w:tcW w:w="4593" w:type="dxa"/>
            <w:tcBorders>
              <w:top w:val="single" w:sz="4" w:space="0" w:color="auto"/>
              <w:left w:val="nil"/>
              <w:bottom w:val="nil"/>
              <w:right w:val="nil"/>
            </w:tcBorders>
          </w:tcPr>
          <w:p w14:paraId="65ABA324" w14:textId="77777777" w:rsidR="000020E8" w:rsidRPr="00D84652" w:rsidRDefault="000020E8" w:rsidP="000020E8">
            <w:pPr>
              <w:keepNext/>
              <w:jc w:val="center"/>
              <w:rPr>
                <w:rFonts w:ascii="Arial" w:eastAsia="Arial" w:hAnsi="Arial" w:cs="Arial"/>
                <w:sz w:val="22"/>
                <w:szCs w:val="22"/>
                <w:highlight w:val="yellow"/>
                <w:lang w:val="fr-FR"/>
              </w:rPr>
            </w:pPr>
            <w:r w:rsidRPr="00D84652">
              <w:rPr>
                <w:rFonts w:ascii="Arial" w:eastAsia="Arial" w:hAnsi="Arial" w:cs="Arial"/>
                <w:sz w:val="22"/>
                <w:szCs w:val="22"/>
                <w:highlight w:val="yellow"/>
                <w:lang w:val="fr-FR"/>
              </w:rPr>
              <w:t>Prof.</w:t>
            </w:r>
          </w:p>
          <w:p w14:paraId="185C6C35" w14:textId="77777777" w:rsidR="00D84652" w:rsidRPr="00D84652" w:rsidRDefault="00D84652" w:rsidP="00D84652">
            <w:pPr>
              <w:jc w:val="center"/>
              <w:rPr>
                <w:rFonts w:ascii="Arial" w:eastAsia="Arial" w:hAnsi="Arial" w:cs="Arial"/>
                <w:sz w:val="22"/>
                <w:szCs w:val="22"/>
                <w:highlight w:val="yellow"/>
                <w:lang w:val="fr-FR"/>
              </w:rPr>
            </w:pPr>
            <w:r w:rsidRPr="00D84652">
              <w:rPr>
                <w:rFonts w:ascii="Arial" w:eastAsia="Arial" w:hAnsi="Arial" w:cs="Arial"/>
                <w:sz w:val="22"/>
                <w:szCs w:val="22"/>
                <w:highlight w:val="yellow"/>
                <w:lang w:val="fr-FR"/>
              </w:rPr>
              <w:t>Recteur/Président</w:t>
            </w:r>
          </w:p>
          <w:p w14:paraId="30E4A98C" w14:textId="2CAFDC76" w:rsidR="000020E8" w:rsidRPr="00D84652" w:rsidRDefault="00D84652" w:rsidP="7FFCFD83">
            <w:pPr>
              <w:keepNext/>
              <w:jc w:val="center"/>
              <w:rPr>
                <w:rFonts w:ascii="Arial" w:eastAsia="Arial" w:hAnsi="Arial" w:cs="Arial"/>
                <w:sz w:val="22"/>
                <w:szCs w:val="22"/>
                <w:highlight w:val="yellow"/>
              </w:rPr>
            </w:pPr>
            <w:r w:rsidRPr="7FFCFD83">
              <w:rPr>
                <w:rFonts w:ascii="Arial" w:eastAsia="Arial" w:hAnsi="Arial" w:cs="Arial"/>
                <w:sz w:val="22"/>
                <w:szCs w:val="22"/>
                <w:highlight w:val="yellow"/>
              </w:rPr>
              <w:t>Université</w:t>
            </w:r>
            <w:r w:rsidR="000020E8" w:rsidRPr="7FFCFD83">
              <w:rPr>
                <w:rFonts w:ascii="Arial" w:eastAsia="Arial" w:hAnsi="Arial" w:cs="Arial"/>
                <w:sz w:val="22"/>
                <w:szCs w:val="22"/>
                <w:highlight w:val="yellow"/>
              </w:rPr>
              <w:t>.....</w:t>
            </w:r>
          </w:p>
        </w:tc>
      </w:tr>
    </w:tbl>
    <w:p w14:paraId="5A19C57E" w14:textId="77777777" w:rsidR="00065DBD" w:rsidRPr="00334B39" w:rsidRDefault="00065DBD" w:rsidP="000020E8">
      <w:pPr>
        <w:jc w:val="both"/>
        <w:rPr>
          <w:rFonts w:ascii="Arial" w:hAnsi="Arial" w:cs="Arial"/>
          <w:sz w:val="22"/>
          <w:szCs w:val="22"/>
        </w:rPr>
      </w:pPr>
    </w:p>
    <w:sectPr w:rsidR="00065DBD" w:rsidRPr="00334B39" w:rsidSect="001B2DA4">
      <w:headerReference w:type="default" r:id="rId12"/>
      <w:footerReference w:type="default" r:id="rId13"/>
      <w:pgSz w:w="11906" w:h="16838"/>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9661F" w14:textId="77777777" w:rsidR="006B2FA3" w:rsidRDefault="006B2FA3">
      <w:r>
        <w:separator/>
      </w:r>
    </w:p>
  </w:endnote>
  <w:endnote w:type="continuationSeparator" w:id="0">
    <w:p w14:paraId="6E0CEDFD" w14:textId="77777777" w:rsidR="006B2FA3" w:rsidRDefault="006B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8131C" w14:textId="1F8DCA1A" w:rsidR="00A40178" w:rsidRPr="00FC40B5" w:rsidRDefault="00A40178" w:rsidP="00A40178">
    <w:pPr>
      <w:pStyle w:val="Rodap"/>
      <w:jc w:val="center"/>
      <w:rPr>
        <w:color w:val="auto"/>
        <w:sz w:val="18"/>
        <w:szCs w:val="18"/>
      </w:rPr>
    </w:pPr>
    <w:r w:rsidRPr="00FC40B5">
      <w:rPr>
        <w:color w:val="auto"/>
        <w:sz w:val="18"/>
        <w:szCs w:val="18"/>
      </w:rPr>
      <w:fldChar w:fldCharType="begin"/>
    </w:r>
    <w:r w:rsidRPr="00FC40B5">
      <w:rPr>
        <w:color w:val="auto"/>
        <w:sz w:val="18"/>
        <w:szCs w:val="18"/>
      </w:rPr>
      <w:instrText>PAGE  \* Arabic  \* MERGEFORMAT</w:instrText>
    </w:r>
    <w:r w:rsidRPr="00FC40B5">
      <w:rPr>
        <w:color w:val="auto"/>
        <w:sz w:val="18"/>
        <w:szCs w:val="18"/>
      </w:rPr>
      <w:fldChar w:fldCharType="separate"/>
    </w:r>
    <w:r w:rsidRPr="00FC40B5">
      <w:rPr>
        <w:color w:val="auto"/>
        <w:sz w:val="18"/>
        <w:szCs w:val="18"/>
      </w:rPr>
      <w:t>2</w:t>
    </w:r>
    <w:r w:rsidRPr="00FC40B5">
      <w:rPr>
        <w:color w:val="auto"/>
        <w:sz w:val="18"/>
        <w:szCs w:val="18"/>
      </w:rPr>
      <w:fldChar w:fldCharType="end"/>
    </w:r>
    <w:r w:rsidRPr="00FC40B5">
      <w:rPr>
        <w:color w:val="auto"/>
        <w:sz w:val="18"/>
        <w:szCs w:val="18"/>
      </w:rPr>
      <w:t>/</w:t>
    </w:r>
    <w:r w:rsidRPr="00FC40B5">
      <w:rPr>
        <w:color w:val="auto"/>
        <w:sz w:val="18"/>
        <w:szCs w:val="18"/>
      </w:rPr>
      <w:fldChar w:fldCharType="begin"/>
    </w:r>
    <w:r w:rsidRPr="00FC40B5">
      <w:rPr>
        <w:color w:val="auto"/>
        <w:sz w:val="18"/>
        <w:szCs w:val="18"/>
      </w:rPr>
      <w:instrText>NUMPAGES \ * Arábico \ * MERGEFORMAT</w:instrText>
    </w:r>
    <w:r w:rsidRPr="00FC40B5">
      <w:rPr>
        <w:color w:val="auto"/>
        <w:sz w:val="18"/>
        <w:szCs w:val="18"/>
      </w:rPr>
      <w:fldChar w:fldCharType="separate"/>
    </w:r>
    <w:r w:rsidRPr="00FC40B5">
      <w:rPr>
        <w:color w:val="auto"/>
        <w:sz w:val="18"/>
        <w:szCs w:val="18"/>
      </w:rPr>
      <w:t>2</w:t>
    </w:r>
    <w:r w:rsidRPr="00FC40B5">
      <w:rPr>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F5B60" w14:textId="77777777" w:rsidR="006B2FA3" w:rsidRDefault="006B2FA3">
      <w:r>
        <w:separator/>
      </w:r>
    </w:p>
  </w:footnote>
  <w:footnote w:type="continuationSeparator" w:id="0">
    <w:p w14:paraId="0DC8C3AE" w14:textId="77777777" w:rsidR="006B2FA3" w:rsidRDefault="006B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72"/>
    </w:tblGrid>
    <w:tr w:rsidR="00A800B0" w14:paraId="42B1B56B" w14:textId="77777777" w:rsidTr="00A800B0">
      <w:tc>
        <w:tcPr>
          <w:tcW w:w="4671" w:type="dxa"/>
        </w:tcPr>
        <w:p w14:paraId="347713CF" w14:textId="32FCF52E" w:rsidR="00A800B0" w:rsidRDefault="00A800B0">
          <w:bookmarkStart w:id="0" w:name="_heading=h.gjdgxs" w:colFirst="0" w:colLast="0"/>
          <w:bookmarkEnd w:id="0"/>
          <w:r>
            <w:rPr>
              <w:noProof/>
            </w:rPr>
            <w:drawing>
              <wp:inline distT="114300" distB="114300" distL="114300" distR="114300" wp14:anchorId="2D56C70B" wp14:editId="751EC8F6">
                <wp:extent cx="1651953" cy="433134"/>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51953" cy="433134"/>
                        </a:xfrm>
                        <a:prstGeom prst="rect">
                          <a:avLst/>
                        </a:prstGeom>
                        <a:ln/>
                      </pic:spPr>
                    </pic:pic>
                  </a:graphicData>
                </a:graphic>
              </wp:inline>
            </w:drawing>
          </w:r>
        </w:p>
      </w:tc>
      <w:tc>
        <w:tcPr>
          <w:tcW w:w="4672" w:type="dxa"/>
        </w:tcPr>
        <w:p w14:paraId="573FB939" w14:textId="2B931198" w:rsidR="00A800B0" w:rsidRDefault="003D7FA0" w:rsidP="00A800B0">
          <w:pPr>
            <w:jc w:val="right"/>
          </w:pPr>
          <w:r>
            <w:t>logo de l’établissement partenaire</w:t>
          </w:r>
        </w:p>
      </w:tc>
    </w:tr>
  </w:tbl>
  <w:p w14:paraId="422412FD" w14:textId="77777777" w:rsidR="00065DBD" w:rsidRDefault="00065DBD">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A6558"/>
    <w:multiLevelType w:val="hybridMultilevel"/>
    <w:tmpl w:val="7A766ED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176B32"/>
    <w:multiLevelType w:val="hybridMultilevel"/>
    <w:tmpl w:val="7D00D8FE"/>
    <w:lvl w:ilvl="0" w:tplc="490A9A1A">
      <w:start w:val="1"/>
      <w:numFmt w:val="upperRoman"/>
      <w:pStyle w:val="Ttulo3"/>
      <w:lvlText w:val="%1."/>
      <w:lvlJc w:val="right"/>
      <w:pPr>
        <w:ind w:left="720" w:hanging="360"/>
      </w:pPr>
    </w:lvl>
    <w:lvl w:ilvl="1" w:tplc="2B6E712E">
      <w:start w:val="1"/>
      <w:numFmt w:val="lowerLetter"/>
      <w:pStyle w:val="Ttulo4"/>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5814C8"/>
    <w:multiLevelType w:val="hybridMultilevel"/>
    <w:tmpl w:val="C832AF1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550EEE"/>
    <w:multiLevelType w:val="multilevel"/>
    <w:tmpl w:val="FB2C60F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 w15:restartNumberingAfterBreak="0">
    <w:nsid w:val="1F5D70BD"/>
    <w:multiLevelType w:val="hybridMultilevel"/>
    <w:tmpl w:val="C0201424"/>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64259F"/>
    <w:multiLevelType w:val="hybridMultilevel"/>
    <w:tmpl w:val="136C656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437961"/>
    <w:multiLevelType w:val="hybridMultilevel"/>
    <w:tmpl w:val="A6C092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7211C6"/>
    <w:multiLevelType w:val="hybridMultilevel"/>
    <w:tmpl w:val="311ECF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E32CE3"/>
    <w:multiLevelType w:val="hybridMultilevel"/>
    <w:tmpl w:val="831C3CAE"/>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4557015">
    <w:abstractNumId w:val="3"/>
  </w:num>
  <w:num w:numId="2" w16cid:durableId="10762509">
    <w:abstractNumId w:val="7"/>
  </w:num>
  <w:num w:numId="3" w16cid:durableId="587664488">
    <w:abstractNumId w:val="0"/>
  </w:num>
  <w:num w:numId="4" w16cid:durableId="1138062566">
    <w:abstractNumId w:val="8"/>
  </w:num>
  <w:num w:numId="5" w16cid:durableId="884218078">
    <w:abstractNumId w:val="2"/>
  </w:num>
  <w:num w:numId="6" w16cid:durableId="1567448258">
    <w:abstractNumId w:val="4"/>
  </w:num>
  <w:num w:numId="7" w16cid:durableId="1432434181">
    <w:abstractNumId w:val="6"/>
  </w:num>
  <w:num w:numId="8" w16cid:durableId="831485774">
    <w:abstractNumId w:val="1"/>
  </w:num>
  <w:num w:numId="9" w16cid:durableId="1831946902">
    <w:abstractNumId w:val="5"/>
  </w:num>
  <w:num w:numId="10" w16cid:durableId="186330955">
    <w:abstractNumId w:val="1"/>
    <w:lvlOverride w:ilvl="0">
      <w:startOverride w:val="1"/>
    </w:lvlOverride>
  </w:num>
  <w:num w:numId="11" w16cid:durableId="1024357836">
    <w:abstractNumId w:val="1"/>
    <w:lvlOverride w:ilvl="0">
      <w:startOverride w:val="1"/>
    </w:lvlOverride>
  </w:num>
  <w:num w:numId="12" w16cid:durableId="1104378755">
    <w:abstractNumId w:val="1"/>
    <w:lvlOverride w:ilvl="0">
      <w:startOverride w:val="1"/>
    </w:lvlOverride>
  </w:num>
  <w:num w:numId="13" w16cid:durableId="1237284730">
    <w:abstractNumId w:val="1"/>
    <w:lvlOverride w:ilvl="0">
      <w:startOverride w:val="1"/>
    </w:lvlOverride>
  </w:num>
  <w:num w:numId="14" w16cid:durableId="1585451390">
    <w:abstractNumId w:val="1"/>
    <w:lvlOverride w:ilvl="0">
      <w:startOverride w:val="1"/>
    </w:lvlOverride>
  </w:num>
  <w:num w:numId="15" w16cid:durableId="245574162">
    <w:abstractNumId w:val="1"/>
  </w:num>
  <w:num w:numId="16" w16cid:durableId="2047101566">
    <w:abstractNumId w:val="1"/>
    <w:lvlOverride w:ilvl="0">
      <w:startOverride w:val="1"/>
    </w:lvlOverride>
  </w:num>
  <w:num w:numId="17" w16cid:durableId="663318663">
    <w:abstractNumId w:val="1"/>
    <w:lvlOverride w:ilvl="0">
      <w:startOverride w:val="1"/>
    </w:lvlOverride>
  </w:num>
  <w:num w:numId="18" w16cid:durableId="455756024">
    <w:abstractNumId w:val="1"/>
    <w:lvlOverride w:ilvl="0">
      <w:startOverride w:val="1"/>
    </w:lvlOverride>
  </w:num>
  <w:num w:numId="19" w16cid:durableId="1409840686">
    <w:abstractNumId w:val="1"/>
    <w:lvlOverride w:ilvl="0">
      <w:startOverride w:val="1"/>
    </w:lvlOverride>
  </w:num>
  <w:num w:numId="20" w16cid:durableId="1024790451">
    <w:abstractNumId w:val="1"/>
    <w:lvlOverride w:ilvl="0">
      <w:startOverride w:val="1"/>
    </w:lvlOverride>
  </w:num>
  <w:num w:numId="21" w16cid:durableId="1617638514">
    <w:abstractNumId w:val="1"/>
    <w:lvlOverride w:ilvl="0">
      <w:startOverride w:val="1"/>
    </w:lvlOverride>
  </w:num>
  <w:num w:numId="22" w16cid:durableId="1319840400">
    <w:abstractNumId w:val="1"/>
    <w:lvlOverride w:ilvl="0">
      <w:startOverride w:val="1"/>
    </w:lvlOverride>
  </w:num>
  <w:num w:numId="23" w16cid:durableId="1892763091">
    <w:abstractNumId w:val="1"/>
    <w:lvlOverride w:ilvl="0">
      <w:startOverride w:val="1"/>
    </w:lvlOverride>
  </w:num>
  <w:num w:numId="24" w16cid:durableId="1254704786">
    <w:abstractNumId w:val="1"/>
    <w:lvlOverride w:ilvl="0">
      <w:startOverride w:val="1"/>
    </w:lvlOverride>
  </w:num>
  <w:num w:numId="25" w16cid:durableId="107794390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BD"/>
    <w:rsid w:val="000020E8"/>
    <w:rsid w:val="00065DBD"/>
    <w:rsid w:val="00093279"/>
    <w:rsid w:val="000D76BC"/>
    <w:rsid w:val="000E2D87"/>
    <w:rsid w:val="00173ADA"/>
    <w:rsid w:val="001B2DA4"/>
    <w:rsid w:val="00326F29"/>
    <w:rsid w:val="00334B39"/>
    <w:rsid w:val="003537C8"/>
    <w:rsid w:val="003D7FA0"/>
    <w:rsid w:val="0042305A"/>
    <w:rsid w:val="004452FB"/>
    <w:rsid w:val="004D44F1"/>
    <w:rsid w:val="004F0741"/>
    <w:rsid w:val="005C7AD0"/>
    <w:rsid w:val="00636576"/>
    <w:rsid w:val="00661A73"/>
    <w:rsid w:val="006B2FA3"/>
    <w:rsid w:val="00764E05"/>
    <w:rsid w:val="00871E4E"/>
    <w:rsid w:val="00891176"/>
    <w:rsid w:val="008B0AFA"/>
    <w:rsid w:val="008E335F"/>
    <w:rsid w:val="00902307"/>
    <w:rsid w:val="00907AB5"/>
    <w:rsid w:val="00961004"/>
    <w:rsid w:val="009B3935"/>
    <w:rsid w:val="009B5E8C"/>
    <w:rsid w:val="00A16915"/>
    <w:rsid w:val="00A262C7"/>
    <w:rsid w:val="00A40178"/>
    <w:rsid w:val="00A800B0"/>
    <w:rsid w:val="00B43500"/>
    <w:rsid w:val="00B94798"/>
    <w:rsid w:val="00BB4EA3"/>
    <w:rsid w:val="00BC1523"/>
    <w:rsid w:val="00D84652"/>
    <w:rsid w:val="00D97366"/>
    <w:rsid w:val="00DC3F04"/>
    <w:rsid w:val="00DE7DB3"/>
    <w:rsid w:val="00DF1B79"/>
    <w:rsid w:val="00E13F55"/>
    <w:rsid w:val="00EB08AB"/>
    <w:rsid w:val="00F44714"/>
    <w:rsid w:val="00F87259"/>
    <w:rsid w:val="00FC40B5"/>
    <w:rsid w:val="2C6C8721"/>
    <w:rsid w:val="4445D1BB"/>
    <w:rsid w:val="7FFCFD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2613"/>
  <w15:docId w15:val="{38281EDC-FF10-4947-86A8-3F53DD02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emEspaamento"/>
    <w:next w:val="Normal"/>
    <w:uiPriority w:val="9"/>
    <w:qFormat/>
    <w:rsid w:val="001B2DA4"/>
    <w:pPr>
      <w:keepNext/>
      <w:spacing w:before="360"/>
      <w:jc w:val="center"/>
      <w:outlineLvl w:val="0"/>
    </w:pPr>
    <w:rPr>
      <w:b/>
      <w:bC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SemEspaamento"/>
    <w:next w:val="Normal"/>
    <w:uiPriority w:val="9"/>
    <w:unhideWhenUsed/>
    <w:qFormat/>
    <w:rsid w:val="00FC40B5"/>
    <w:pPr>
      <w:numPr>
        <w:numId w:val="8"/>
      </w:numPr>
      <w:contextualSpacing/>
      <w:outlineLvl w:val="2"/>
    </w:pPr>
    <w:rPr>
      <w:lang w:val="es-ES"/>
    </w:rPr>
  </w:style>
  <w:style w:type="paragraph" w:styleId="Ttulo4">
    <w:name w:val="heading 4"/>
    <w:basedOn w:val="Ttulo3"/>
    <w:next w:val="Normal"/>
    <w:uiPriority w:val="9"/>
    <w:unhideWhenUsed/>
    <w:qFormat/>
    <w:rsid w:val="00FC40B5"/>
    <w:pPr>
      <w:numPr>
        <w:ilvl w:val="1"/>
      </w:numPr>
      <w:ind w:left="737" w:hanging="284"/>
      <w:outlineLvl w:val="3"/>
    </w:p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70" w:type="dxa"/>
        <w:right w:w="70" w:type="dxa"/>
      </w:tblCellMar>
    </w:tblPr>
  </w:style>
  <w:style w:type="table" w:customStyle="1" w:styleId="a0">
    <w:basedOn w:val="Tabelanormal"/>
    <w:tblPr>
      <w:tblStyleRowBandSize w:val="1"/>
      <w:tblStyleColBandSize w:val="1"/>
    </w:tblPr>
  </w:style>
  <w:style w:type="table" w:customStyle="1" w:styleId="a1">
    <w:basedOn w:val="Tabelanormal"/>
    <w:tblPr>
      <w:tblStyleRowBandSize w:val="1"/>
      <w:tblStyleColBandSize w:val="1"/>
    </w:tblPr>
  </w:style>
  <w:style w:type="table" w:customStyle="1" w:styleId="a2">
    <w:basedOn w:val="Tabelanormal"/>
    <w:tblPr>
      <w:tblStyleRowBandSize w:val="1"/>
      <w:tblStyleColBandSize w:val="1"/>
    </w:tblPr>
  </w:style>
  <w:style w:type="table" w:customStyle="1" w:styleId="a3">
    <w:basedOn w:val="Tabelanormal"/>
    <w:tblPr>
      <w:tblStyleRowBandSize w:val="1"/>
      <w:tblStyleColBandSize w:val="1"/>
    </w:tblPr>
  </w:style>
  <w:style w:type="table" w:customStyle="1" w:styleId="a4">
    <w:basedOn w:val="Tabelanormal"/>
    <w:tblPr>
      <w:tblStyleRowBandSize w:val="1"/>
      <w:tblStyleColBandSize w:val="1"/>
    </w:tblPr>
  </w:style>
  <w:style w:type="paragraph" w:styleId="Cabealho">
    <w:name w:val="header"/>
    <w:basedOn w:val="Normal"/>
    <w:link w:val="CabealhoChar"/>
    <w:uiPriority w:val="99"/>
    <w:unhideWhenUsed/>
    <w:rsid w:val="00F44714"/>
    <w:pPr>
      <w:tabs>
        <w:tab w:val="center" w:pos="4252"/>
        <w:tab w:val="right" w:pos="8504"/>
      </w:tabs>
    </w:pPr>
  </w:style>
  <w:style w:type="character" w:customStyle="1" w:styleId="CabealhoChar">
    <w:name w:val="Cabeçalho Char"/>
    <w:basedOn w:val="Fontepargpadro"/>
    <w:link w:val="Cabealho"/>
    <w:uiPriority w:val="99"/>
    <w:rsid w:val="00F44714"/>
  </w:style>
  <w:style w:type="paragraph" w:styleId="Rodap">
    <w:name w:val="footer"/>
    <w:basedOn w:val="Normal"/>
    <w:link w:val="RodapChar"/>
    <w:uiPriority w:val="99"/>
    <w:unhideWhenUsed/>
    <w:rsid w:val="00F44714"/>
    <w:pPr>
      <w:tabs>
        <w:tab w:val="center" w:pos="4252"/>
        <w:tab w:val="right" w:pos="8504"/>
      </w:tabs>
    </w:pPr>
  </w:style>
  <w:style w:type="character" w:customStyle="1" w:styleId="RodapChar">
    <w:name w:val="Rodapé Char"/>
    <w:basedOn w:val="Fontepargpadro"/>
    <w:link w:val="Rodap"/>
    <w:uiPriority w:val="99"/>
    <w:rsid w:val="00F44714"/>
  </w:style>
  <w:style w:type="table" w:styleId="Tabelacomgrade">
    <w:name w:val="Table Grid"/>
    <w:basedOn w:val="Tabelanormal"/>
    <w:uiPriority w:val="39"/>
    <w:rsid w:val="00A80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800B0"/>
    <w:pPr>
      <w:ind w:left="720"/>
      <w:contextualSpacing/>
    </w:pPr>
  </w:style>
  <w:style w:type="paragraph" w:styleId="SemEspaamento">
    <w:name w:val="No Spacing"/>
    <w:basedOn w:val="Normal"/>
    <w:uiPriority w:val="1"/>
    <w:qFormat/>
    <w:rsid w:val="00BB4EA3"/>
    <w:pPr>
      <w:spacing w:before="120" w:after="120"/>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487195">
      <w:bodyDiv w:val="1"/>
      <w:marLeft w:val="0"/>
      <w:marRight w:val="0"/>
      <w:marTop w:val="0"/>
      <w:marBottom w:val="0"/>
      <w:divBdr>
        <w:top w:val="none" w:sz="0" w:space="0" w:color="auto"/>
        <w:left w:val="none" w:sz="0" w:space="0" w:color="auto"/>
        <w:bottom w:val="none" w:sz="0" w:space="0" w:color="auto"/>
        <w:right w:val="none" w:sz="0" w:space="0" w:color="auto"/>
      </w:divBdr>
    </w:div>
    <w:div w:id="1955600016">
      <w:bodyDiv w:val="1"/>
      <w:marLeft w:val="0"/>
      <w:marRight w:val="0"/>
      <w:marTop w:val="0"/>
      <w:marBottom w:val="0"/>
      <w:divBdr>
        <w:top w:val="none" w:sz="0" w:space="0" w:color="auto"/>
        <w:left w:val="none" w:sz="0" w:space="0" w:color="auto"/>
        <w:bottom w:val="none" w:sz="0" w:space="0" w:color="auto"/>
        <w:right w:val="none" w:sz="0" w:space="0" w:color="auto"/>
      </w:divBdr>
    </w:div>
    <w:div w:id="2082755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1ABC0B8374A499B6B73FF32ECFCFB" ma:contentTypeVersion="21" ma:contentTypeDescription="Crie um novo documento." ma:contentTypeScope="" ma:versionID="450374e3b17ebdc146782a1b3a5655a1">
  <xsd:schema xmlns:xsd="http://www.w3.org/2001/XMLSchema" xmlns:xs="http://www.w3.org/2001/XMLSchema" xmlns:p="http://schemas.microsoft.com/office/2006/metadata/properties" xmlns:ns2="436d9765-15fd-4027-858d-f3ba6f517f37" xmlns:ns3="657cc509-5ad8-44dc-93ad-7442fb6d3f90" targetNamespace="http://schemas.microsoft.com/office/2006/metadata/properties" ma:root="true" ma:fieldsID="f28e6729964b6ab4ad43402d4e893fa1" ns2:_="" ns3:_="">
    <xsd:import namespace="436d9765-15fd-4027-858d-f3ba6f517f37"/>
    <xsd:import namespace="657cc509-5ad8-44dc-93ad-7442fb6d3f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an_x00e7_adonoPowerApps" minOccurs="0"/>
                <xsd:element ref="ns2:_Flow_SignoffStatus" minOccurs="0"/>
                <xsd:element ref="ns2:N_x00ba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d9765-15fd-4027-858d-f3ba6f517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an_x00e7_adonoPowerApps" ma:index="20" nillable="true" ma:displayName="Lançado no PowerApps" ma:default="1" ma:format="Dropdown" ma:internalName="Lan_x00e7_adonoPowerApps">
      <xsd:simpleType>
        <xsd:restriction base="dms:Boolean"/>
      </xsd:simpleType>
    </xsd:element>
    <xsd:element name="_Flow_SignoffStatus" ma:index="21" nillable="true" ma:displayName="Status de liberação" ma:internalName="Status_x0020_de_x0020_libera_x00e7__x00e3_o">
      <xsd:simpleType>
        <xsd:restriction base="dms:Text"/>
      </xsd:simpleType>
    </xsd:element>
    <xsd:element name="N_x00ba_" ma:index="22" nillable="true" ma:displayName="Nº" ma:format="Dropdown" ma:internalName="N_x00ba_" ma:percentage="FALSE">
      <xsd:simpleType>
        <xsd:restriction base="dms:Number"/>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242374f3-4cab-4e95-b6f7-35998408ef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cc509-5ad8-44dc-93ad-7442fb6d3f90"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fe0e50b4-5a18-4666-84ba-5b808ed6fa82}" ma:internalName="TaxCatchAll" ma:showField="CatchAllData" ma:web="657cc509-5ad8-44dc-93ad-7442fb6d3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ryn2xfxK0eq7fFBgC9UbvWaFKMw==">AMUW2mXc8Xs8wuIGRwOm3V1vv3QKF9FuXZ6UjfyLVGUHU6V7eWq0nwRNf5x90oDqSmqQrXeyT4eG4Y4eusMUBiqTyPCaV60H+ZNcgN7oyIp16TAt51/qW9EBXtDPgJxCpF5WdN8QrsDG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an_x00e7_adonoPowerApps xmlns="436d9765-15fd-4027-858d-f3ba6f517f37">true</Lan_x00e7_adonoPowerApps>
    <N_x00ba_ xmlns="436d9765-15fd-4027-858d-f3ba6f517f37" xsi:nil="true"/>
    <_Flow_SignoffStatus xmlns="436d9765-15fd-4027-858d-f3ba6f517f37" xsi:nil="true"/>
    <TaxCatchAll xmlns="657cc509-5ad8-44dc-93ad-7442fb6d3f90" xsi:nil="true"/>
    <lcf76f155ced4ddcb4097134ff3c332f xmlns="436d9765-15fd-4027-858d-f3ba6f517f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51550-3325-4C1E-9E44-7F88CE51F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d9765-15fd-4027-858d-f3ba6f517f37"/>
    <ds:schemaRef ds:uri="657cc509-5ad8-44dc-93ad-7442fb6d3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986A219-EE8C-44B5-A279-B6B745FA3FC2}">
  <ds:schemaRefs>
    <ds:schemaRef ds:uri="http://schemas.microsoft.com/office/2006/metadata/properties"/>
    <ds:schemaRef ds:uri="http://schemas.microsoft.com/office/infopath/2007/PartnerControls"/>
    <ds:schemaRef ds:uri="436d9765-15fd-4027-858d-f3ba6f517f37"/>
    <ds:schemaRef ds:uri="657cc509-5ad8-44dc-93ad-7442fb6d3f90"/>
  </ds:schemaRefs>
</ds:datastoreItem>
</file>

<file path=customXml/itemProps4.xml><?xml version="1.0" encoding="utf-8"?>
<ds:datastoreItem xmlns:ds="http://schemas.openxmlformats.org/officeDocument/2006/customXml" ds:itemID="{76361FEB-1809-435E-9F4C-956D9C93226F}">
  <ds:schemaRefs>
    <ds:schemaRef ds:uri="http://schemas.microsoft.com/sharepoint/v3/contenttype/forms"/>
  </ds:schemaRefs>
</ds:datastoreItem>
</file>

<file path=customXml/itemProps5.xml><?xml version="1.0" encoding="utf-8"?>
<ds:datastoreItem xmlns:ds="http://schemas.openxmlformats.org/officeDocument/2006/customXml" ds:itemID="{815BCB87-F388-5843-9AE4-263F49AD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8964</Characters>
  <Application>Microsoft Office Word</Application>
  <DocSecurity>0</DocSecurity>
  <Lines>74</Lines>
  <Paragraphs>21</Paragraphs>
  <ScaleCrop>false</ScaleCrop>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Júlia Albuquerque Dantas</cp:lastModifiedBy>
  <cp:revision>6</cp:revision>
  <dcterms:created xsi:type="dcterms:W3CDTF">2024-03-16T14:37:00Z</dcterms:created>
  <dcterms:modified xsi:type="dcterms:W3CDTF">2024-11-27T16:16:00Z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0x010100CD11ABC0B8374A499B6B73FF32ECFCFB</vt:lpwstr>
  </property>
  <property fmtid="{D5CDD505-2E9C-101B-9397-08002B2CF9AE}" pid="3" name="MediaServiceImageTags">
    <vt:lpwstr/>
  </property>
</Properties>
</file>